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D8BA8" w14:textId="77777777" w:rsidR="008866AF" w:rsidRDefault="008866AF" w:rsidP="008866AF">
      <w:pPr>
        <w:spacing w:after="0" w:line="240" w:lineRule="auto"/>
        <w:jc w:val="center"/>
        <w:rPr>
          <w:rFonts w:ascii="Calibri" w:eastAsia="Calibri" w:hAnsi="Calibri" w:cs="Calibri"/>
          <w:b/>
          <w:bCs/>
          <w:sz w:val="32"/>
          <w:szCs w:val="32"/>
          <w:u w:val="single"/>
        </w:rPr>
      </w:pPr>
    </w:p>
    <w:p w14:paraId="0CC37B3C" w14:textId="77777777" w:rsidR="008866AF" w:rsidRDefault="008866AF" w:rsidP="008866AF">
      <w:pPr>
        <w:spacing w:after="0" w:line="240" w:lineRule="auto"/>
        <w:jc w:val="center"/>
        <w:rPr>
          <w:rFonts w:ascii="Calibri" w:eastAsia="Calibri" w:hAnsi="Calibri" w:cs="Calibri"/>
          <w:b/>
          <w:bCs/>
          <w:sz w:val="32"/>
          <w:szCs w:val="32"/>
          <w:u w:val="single"/>
        </w:rPr>
      </w:pPr>
    </w:p>
    <w:p w14:paraId="425B600C" w14:textId="77777777" w:rsidR="008866AF" w:rsidRDefault="008866AF" w:rsidP="008866AF">
      <w:pPr>
        <w:spacing w:after="0" w:line="240" w:lineRule="auto"/>
        <w:jc w:val="center"/>
        <w:rPr>
          <w:rFonts w:ascii="Calibri" w:eastAsia="Calibri" w:hAnsi="Calibri" w:cs="Calibri"/>
          <w:b/>
          <w:bCs/>
          <w:sz w:val="32"/>
          <w:szCs w:val="32"/>
          <w:u w:val="single"/>
        </w:rPr>
      </w:pPr>
    </w:p>
    <w:p w14:paraId="46808F7D" w14:textId="77777777" w:rsidR="008866AF" w:rsidRDefault="008866AF" w:rsidP="008866AF">
      <w:pPr>
        <w:spacing w:after="0" w:line="240" w:lineRule="auto"/>
        <w:jc w:val="center"/>
        <w:rPr>
          <w:rFonts w:ascii="Calibri" w:eastAsia="Calibri" w:hAnsi="Calibri" w:cs="Calibri"/>
          <w:b/>
          <w:bCs/>
          <w:sz w:val="32"/>
          <w:szCs w:val="32"/>
          <w:u w:val="single"/>
        </w:rPr>
      </w:pPr>
      <w:r>
        <w:rPr>
          <w:rFonts w:ascii="Calibri" w:eastAsia="Calibri" w:hAnsi="Calibri" w:cs="Calibri"/>
          <w:b/>
          <w:bCs/>
          <w:sz w:val="32"/>
          <w:szCs w:val="32"/>
          <w:u w:val="single"/>
        </w:rPr>
        <w:t>Disability Futures: Intersections, Precarities, and Possibilities</w:t>
      </w:r>
    </w:p>
    <w:p w14:paraId="4D0D942A" w14:textId="77777777" w:rsidR="008866AF" w:rsidRDefault="008866AF" w:rsidP="008866AF">
      <w:pPr>
        <w:spacing w:after="0" w:line="240" w:lineRule="auto"/>
        <w:jc w:val="center"/>
        <w:rPr>
          <w:rFonts w:ascii="Calibri" w:eastAsia="Calibri" w:hAnsi="Calibri" w:cs="Calibri"/>
          <w:b/>
          <w:bCs/>
          <w:sz w:val="32"/>
          <w:szCs w:val="32"/>
          <w:u w:val="single"/>
        </w:rPr>
      </w:pPr>
    </w:p>
    <w:p w14:paraId="1CF9DC5D" w14:textId="77777777" w:rsidR="008866AF" w:rsidRDefault="008866AF" w:rsidP="008866AF">
      <w:pPr>
        <w:spacing w:after="0" w:line="240" w:lineRule="auto"/>
        <w:jc w:val="center"/>
        <w:rPr>
          <w:rFonts w:ascii="Calibri" w:eastAsia="Calibri" w:hAnsi="Calibri" w:cs="Calibri"/>
          <w:sz w:val="28"/>
          <w:szCs w:val="28"/>
        </w:rPr>
      </w:pPr>
      <w:r>
        <w:rPr>
          <w:rFonts w:ascii="Calibri" w:eastAsia="Calibri" w:hAnsi="Calibri" w:cs="Calibri"/>
          <w:sz w:val="28"/>
          <w:szCs w:val="28"/>
        </w:rPr>
        <w:t>Indian Disability Studies Collective - Annual Conference 2026</w:t>
      </w:r>
    </w:p>
    <w:p w14:paraId="38878BBD" w14:textId="77777777" w:rsidR="008866AF" w:rsidRDefault="008866AF" w:rsidP="008866AF">
      <w:pPr>
        <w:spacing w:after="0" w:line="240" w:lineRule="auto"/>
        <w:jc w:val="center"/>
        <w:rPr>
          <w:rFonts w:ascii="Calibri" w:eastAsia="Calibri" w:hAnsi="Calibri" w:cs="Calibri"/>
          <w:sz w:val="28"/>
          <w:szCs w:val="28"/>
        </w:rPr>
      </w:pPr>
    </w:p>
    <w:p w14:paraId="4308B517" w14:textId="77777777" w:rsidR="008866AF" w:rsidRDefault="008866AF" w:rsidP="008866AF">
      <w:pPr>
        <w:spacing w:after="0" w:line="240" w:lineRule="auto"/>
        <w:jc w:val="center"/>
        <w:rPr>
          <w:rFonts w:ascii="Calibri" w:eastAsia="Calibri" w:hAnsi="Calibri" w:cs="Calibri"/>
          <w:sz w:val="28"/>
          <w:szCs w:val="28"/>
        </w:rPr>
      </w:pPr>
      <w:proofErr w:type="spellStart"/>
      <w:r>
        <w:rPr>
          <w:rFonts w:ascii="Calibri" w:eastAsia="Calibri" w:hAnsi="Calibri" w:cs="Calibri"/>
          <w:sz w:val="28"/>
          <w:szCs w:val="28"/>
        </w:rPr>
        <w:t>Organised</w:t>
      </w:r>
      <w:proofErr w:type="spellEnd"/>
      <w:r>
        <w:rPr>
          <w:rFonts w:ascii="Calibri" w:eastAsia="Calibri" w:hAnsi="Calibri" w:cs="Calibri"/>
          <w:sz w:val="28"/>
          <w:szCs w:val="28"/>
        </w:rPr>
        <w:t xml:space="preserve"> by the Social Science Group,</w:t>
      </w:r>
    </w:p>
    <w:p w14:paraId="40180E9E" w14:textId="77777777" w:rsidR="008866AF" w:rsidRDefault="008866AF" w:rsidP="008866AF">
      <w:pPr>
        <w:spacing w:after="0" w:line="240" w:lineRule="auto"/>
        <w:jc w:val="center"/>
        <w:rPr>
          <w:rFonts w:ascii="Calibri" w:eastAsia="Calibri" w:hAnsi="Calibri" w:cs="Calibri"/>
          <w:sz w:val="28"/>
          <w:szCs w:val="28"/>
        </w:rPr>
      </w:pPr>
      <w:r>
        <w:rPr>
          <w:rFonts w:ascii="Calibri" w:eastAsia="Calibri" w:hAnsi="Calibri" w:cs="Calibri"/>
          <w:sz w:val="28"/>
          <w:szCs w:val="28"/>
        </w:rPr>
        <w:t>Azim Premji University, Bengaluru</w:t>
      </w:r>
    </w:p>
    <w:p w14:paraId="75F5A660" w14:textId="77777777" w:rsidR="008866AF" w:rsidRDefault="008866AF" w:rsidP="008866AF">
      <w:pPr>
        <w:spacing w:after="0" w:line="240" w:lineRule="auto"/>
        <w:jc w:val="center"/>
        <w:rPr>
          <w:rFonts w:ascii="Calibri" w:eastAsia="Calibri" w:hAnsi="Calibri" w:cs="Calibri"/>
          <w:sz w:val="28"/>
          <w:szCs w:val="28"/>
        </w:rPr>
      </w:pPr>
    </w:p>
    <w:p w14:paraId="6BFCAF0D" w14:textId="77777777" w:rsidR="008866AF" w:rsidRDefault="008866AF" w:rsidP="008866AF">
      <w:pPr>
        <w:spacing w:after="0" w:line="240" w:lineRule="auto"/>
        <w:jc w:val="center"/>
        <w:rPr>
          <w:rFonts w:ascii="Calibri" w:eastAsia="Calibri" w:hAnsi="Calibri" w:cs="Calibri"/>
          <w:sz w:val="28"/>
          <w:szCs w:val="28"/>
        </w:rPr>
      </w:pPr>
      <w:r>
        <w:rPr>
          <w:rFonts w:ascii="Calibri" w:eastAsia="Calibri" w:hAnsi="Calibri" w:cs="Calibri"/>
          <w:sz w:val="28"/>
          <w:szCs w:val="28"/>
        </w:rPr>
        <w:t>May 14</w:t>
      </w:r>
      <w:r>
        <w:rPr>
          <w:rFonts w:ascii="Calibri" w:eastAsia="Calibri" w:hAnsi="Calibri" w:cs="Calibri"/>
          <w:sz w:val="28"/>
          <w:szCs w:val="28"/>
          <w:vertAlign w:val="superscript"/>
        </w:rPr>
        <w:t>th</w:t>
      </w:r>
      <w:r>
        <w:rPr>
          <w:rFonts w:ascii="Calibri" w:eastAsia="Calibri" w:hAnsi="Calibri" w:cs="Calibri"/>
          <w:sz w:val="28"/>
          <w:szCs w:val="28"/>
        </w:rPr>
        <w:t xml:space="preserve"> and 15</w:t>
      </w:r>
      <w:r>
        <w:rPr>
          <w:rFonts w:ascii="Calibri" w:eastAsia="Calibri" w:hAnsi="Calibri" w:cs="Calibri"/>
          <w:sz w:val="28"/>
          <w:szCs w:val="28"/>
          <w:vertAlign w:val="superscript"/>
        </w:rPr>
        <w:t>th</w:t>
      </w:r>
      <w:r>
        <w:rPr>
          <w:rFonts w:ascii="Calibri" w:eastAsia="Calibri" w:hAnsi="Calibri" w:cs="Calibri"/>
          <w:sz w:val="28"/>
          <w:szCs w:val="28"/>
        </w:rPr>
        <w:t xml:space="preserve"> 2026</w:t>
      </w:r>
    </w:p>
    <w:p w14:paraId="57D4816E" w14:textId="77777777" w:rsidR="008866AF" w:rsidRDefault="008866AF" w:rsidP="008866AF">
      <w:pPr>
        <w:spacing w:after="0" w:line="240" w:lineRule="auto"/>
        <w:jc w:val="center"/>
        <w:rPr>
          <w:rFonts w:ascii="Calibri" w:eastAsia="Calibri" w:hAnsi="Calibri" w:cs="Calibri"/>
          <w:sz w:val="28"/>
          <w:szCs w:val="28"/>
        </w:rPr>
      </w:pPr>
    </w:p>
    <w:p w14:paraId="0E762E9B" w14:textId="77777777" w:rsidR="008866AF" w:rsidRDefault="008866AF" w:rsidP="008866AF">
      <w:pPr>
        <w:spacing w:after="0" w:line="240" w:lineRule="auto"/>
        <w:jc w:val="center"/>
        <w:rPr>
          <w:rFonts w:ascii="Calibri" w:eastAsia="Calibri" w:hAnsi="Calibri" w:cs="Calibri"/>
          <w:sz w:val="28"/>
          <w:szCs w:val="28"/>
        </w:rPr>
      </w:pPr>
    </w:p>
    <w:p w14:paraId="66E6BB62" w14:textId="77777777" w:rsidR="008866AF" w:rsidRPr="00BC4D01" w:rsidRDefault="008866AF" w:rsidP="008866AF">
      <w:pPr>
        <w:spacing w:after="0" w:line="240" w:lineRule="auto"/>
        <w:jc w:val="center"/>
        <w:rPr>
          <w:rFonts w:ascii="Calibri" w:eastAsia="Calibri" w:hAnsi="Calibri" w:cs="Calibri"/>
          <w:b/>
          <w:bCs/>
          <w:sz w:val="28"/>
          <w:szCs w:val="28"/>
        </w:rPr>
      </w:pPr>
      <w:r w:rsidRPr="00BC4D01">
        <w:rPr>
          <w:rFonts w:ascii="Calibri" w:eastAsia="Calibri" w:hAnsi="Calibri" w:cs="Calibri"/>
          <w:b/>
          <w:bCs/>
          <w:sz w:val="28"/>
          <w:szCs w:val="28"/>
        </w:rPr>
        <w:t>Book of Abstracts</w:t>
      </w:r>
    </w:p>
    <w:p w14:paraId="3CAF9EF4" w14:textId="77777777" w:rsidR="008866AF" w:rsidRDefault="008866AF" w:rsidP="008866AF">
      <w:pPr>
        <w:spacing w:after="0" w:line="240" w:lineRule="auto"/>
        <w:jc w:val="center"/>
        <w:rPr>
          <w:rFonts w:ascii="Calibri" w:eastAsia="Calibri" w:hAnsi="Calibri" w:cs="Calibri"/>
          <w:b/>
          <w:bCs/>
          <w:sz w:val="28"/>
          <w:szCs w:val="28"/>
        </w:rPr>
      </w:pPr>
      <w:r>
        <w:br w:type="page"/>
      </w:r>
      <w:r>
        <w:rPr>
          <w:rFonts w:ascii="Calibri" w:eastAsia="Calibri" w:hAnsi="Calibri" w:cs="Calibri"/>
          <w:b/>
          <w:bCs/>
          <w:sz w:val="28"/>
          <w:szCs w:val="28"/>
        </w:rPr>
        <w:lastRenderedPageBreak/>
        <w:t>Table of Contents</w:t>
      </w:r>
    </w:p>
    <w:p w14:paraId="3871D640" w14:textId="77777777" w:rsidR="008866AF" w:rsidRDefault="008866AF" w:rsidP="008866AF">
      <w:pPr>
        <w:spacing w:after="0" w:line="240" w:lineRule="auto"/>
        <w:jc w:val="center"/>
        <w:rPr>
          <w:rFonts w:ascii="Calibri" w:eastAsia="Calibri" w:hAnsi="Calibri" w:cs="Calibri"/>
          <w:b/>
          <w:bCs/>
          <w:sz w:val="28"/>
          <w:szCs w:val="28"/>
        </w:rPr>
      </w:pPr>
      <w:r>
        <w:rPr>
          <w:rFonts w:ascii="Calibri" w:eastAsia="Calibri" w:hAnsi="Calibri" w:cs="Calibri"/>
          <w:b/>
          <w:bCs/>
          <w:sz w:val="28"/>
          <w:szCs w:val="28"/>
        </w:rPr>
        <w:t xml:space="preserve">                                                                                                                              </w:t>
      </w:r>
    </w:p>
    <w:p w14:paraId="02352667" w14:textId="77777777" w:rsidR="008866AF" w:rsidRDefault="008866AF" w:rsidP="008866AF">
      <w:pPr>
        <w:spacing w:after="0" w:line="240" w:lineRule="auto"/>
        <w:rPr>
          <w:rFonts w:ascii="Calibri" w:eastAsia="Calibri" w:hAnsi="Calibri" w:cs="Calibri"/>
          <w:b/>
          <w:bCs/>
          <w:sz w:val="28"/>
          <w:szCs w:val="28"/>
        </w:rPr>
      </w:pPr>
    </w:p>
    <w:p w14:paraId="4C0EE607"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 xml:space="preserve">Panel 1: Care and Belonging                         </w:t>
      </w:r>
      <w:r w:rsidRPr="00274099">
        <w:rPr>
          <w:rFonts w:ascii="Calibri" w:eastAsia="Calibri" w:hAnsi="Calibri" w:cs="Calibri"/>
          <w:b/>
          <w:bCs/>
          <w:sz w:val="24"/>
          <w:szCs w:val="24"/>
        </w:rPr>
        <w:tab/>
      </w:r>
      <w:r w:rsidRPr="00274099">
        <w:rPr>
          <w:rFonts w:ascii="Calibri" w:eastAsia="Calibri" w:hAnsi="Calibri" w:cs="Calibri"/>
          <w:b/>
          <w:bCs/>
          <w:sz w:val="24"/>
          <w:szCs w:val="24"/>
        </w:rPr>
        <w:tab/>
      </w:r>
      <w:r w:rsidRPr="00274099">
        <w:rPr>
          <w:rFonts w:ascii="Calibri" w:eastAsia="Calibri" w:hAnsi="Calibri" w:cs="Calibri"/>
          <w:b/>
          <w:bCs/>
          <w:sz w:val="24"/>
          <w:szCs w:val="24"/>
        </w:rPr>
        <w:tab/>
      </w:r>
      <w:r w:rsidRPr="00274099">
        <w:rPr>
          <w:rFonts w:ascii="Calibri" w:eastAsia="Calibri" w:hAnsi="Calibri" w:cs="Calibri"/>
          <w:b/>
          <w:bCs/>
          <w:sz w:val="24"/>
          <w:szCs w:val="24"/>
        </w:rPr>
        <w:tab/>
      </w:r>
    </w:p>
    <w:p w14:paraId="729B859D" w14:textId="77777777" w:rsidR="008866AF" w:rsidRPr="00274099" w:rsidRDefault="008866AF" w:rsidP="008866AF">
      <w:pPr>
        <w:spacing w:after="0" w:line="240" w:lineRule="auto"/>
        <w:jc w:val="center"/>
        <w:rPr>
          <w:rFonts w:ascii="Calibri" w:eastAsia="Calibri" w:hAnsi="Calibri" w:cs="Calibri"/>
          <w:sz w:val="24"/>
          <w:szCs w:val="24"/>
        </w:rPr>
      </w:pPr>
    </w:p>
    <w:p w14:paraId="5361DE88"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Care, Community, and Emotional </w:t>
      </w:r>
      <w:proofErr w:type="spellStart"/>
      <w:r w:rsidRPr="00274099">
        <w:rPr>
          <w:rFonts w:ascii="Calibri" w:eastAsia="Calibri" w:hAnsi="Calibri" w:cs="Calibri"/>
          <w:sz w:val="24"/>
          <w:szCs w:val="24"/>
        </w:rPr>
        <w:t>Labour</w:t>
      </w:r>
      <w:proofErr w:type="spellEnd"/>
      <w:r w:rsidRPr="00274099">
        <w:rPr>
          <w:rFonts w:ascii="Calibri" w:eastAsia="Calibri" w:hAnsi="Calibri" w:cs="Calibri"/>
          <w:sz w:val="24"/>
          <w:szCs w:val="24"/>
        </w:rPr>
        <w:t xml:space="preserve"> in </w:t>
      </w:r>
    </w:p>
    <w:p w14:paraId="6CA2E30B"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Sarmistha Pritam's Sun on My Face                                                       </w:t>
      </w:r>
      <w:r w:rsidRPr="00274099">
        <w:rPr>
          <w:rFonts w:ascii="Calibri" w:eastAsia="Calibri" w:hAnsi="Calibri" w:cs="Calibri"/>
          <w:b/>
          <w:bCs/>
          <w:sz w:val="24"/>
          <w:szCs w:val="24"/>
        </w:rPr>
        <w:t xml:space="preserve"> </w:t>
      </w:r>
      <w:r w:rsidRPr="00274099">
        <w:rPr>
          <w:rFonts w:ascii="Calibri" w:eastAsia="Calibri" w:hAnsi="Calibri" w:cs="Calibri"/>
          <w:b/>
          <w:bCs/>
          <w:sz w:val="28"/>
          <w:szCs w:val="28"/>
        </w:rPr>
        <w:t>6</w:t>
      </w:r>
    </w:p>
    <w:p w14:paraId="3FECFC75"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w:t>
      </w:r>
      <w:proofErr w:type="spellStart"/>
      <w:r w:rsidRPr="00274099">
        <w:rPr>
          <w:rFonts w:ascii="Calibri" w:eastAsia="Calibri" w:hAnsi="Calibri" w:cs="Calibri"/>
          <w:i/>
          <w:iCs/>
          <w:sz w:val="24"/>
          <w:szCs w:val="24"/>
        </w:rPr>
        <w:t>Tuhisha</w:t>
      </w:r>
      <w:proofErr w:type="spellEnd"/>
      <w:r w:rsidRPr="00274099">
        <w:rPr>
          <w:rFonts w:ascii="Calibri" w:eastAsia="Calibri" w:hAnsi="Calibri" w:cs="Calibri"/>
          <w:i/>
          <w:iCs/>
          <w:sz w:val="24"/>
          <w:szCs w:val="24"/>
        </w:rPr>
        <w:t xml:space="preserve"> Ghosh and Stuti Goswami</w:t>
      </w:r>
    </w:p>
    <w:p w14:paraId="019DD7DE" w14:textId="77777777" w:rsidR="008866AF" w:rsidRPr="00274099" w:rsidRDefault="008866AF" w:rsidP="008866AF">
      <w:pPr>
        <w:spacing w:after="0" w:line="240" w:lineRule="auto"/>
        <w:ind w:left="720"/>
        <w:jc w:val="center"/>
        <w:rPr>
          <w:rFonts w:ascii="Calibri" w:eastAsia="Calibri" w:hAnsi="Calibri" w:cs="Calibri"/>
          <w:sz w:val="24"/>
          <w:szCs w:val="24"/>
        </w:rPr>
      </w:pPr>
    </w:p>
    <w:p w14:paraId="1F6F1E71"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The future of autism care in urban India: </w:t>
      </w:r>
    </w:p>
    <w:p w14:paraId="04EF90C6"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Of interdependence, personhood, and belonging                                </w:t>
      </w:r>
      <w:r w:rsidRPr="00274099">
        <w:rPr>
          <w:rFonts w:ascii="Calibri" w:eastAsia="Calibri" w:hAnsi="Calibri" w:cs="Calibri"/>
          <w:b/>
          <w:bCs/>
          <w:sz w:val="28"/>
          <w:szCs w:val="28"/>
        </w:rPr>
        <w:t>7</w:t>
      </w:r>
    </w:p>
    <w:p w14:paraId="7591B1FD"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 xml:space="preserve">-Shubha Ranganathan, and </w:t>
      </w:r>
      <w:proofErr w:type="spellStart"/>
      <w:r w:rsidRPr="00274099">
        <w:rPr>
          <w:rFonts w:ascii="Calibri" w:eastAsia="Calibri" w:hAnsi="Calibri" w:cs="Calibri"/>
          <w:i/>
          <w:iCs/>
          <w:sz w:val="24"/>
          <w:szCs w:val="24"/>
        </w:rPr>
        <w:t>Bindhulakshmi</w:t>
      </w:r>
      <w:proofErr w:type="spellEnd"/>
      <w:r w:rsidRPr="00274099">
        <w:rPr>
          <w:rFonts w:ascii="Calibri" w:eastAsia="Calibri" w:hAnsi="Calibri" w:cs="Calibri"/>
          <w:i/>
          <w:iCs/>
          <w:sz w:val="24"/>
          <w:szCs w:val="24"/>
        </w:rPr>
        <w:t xml:space="preserve"> </w:t>
      </w:r>
      <w:proofErr w:type="spellStart"/>
      <w:r w:rsidRPr="00274099">
        <w:rPr>
          <w:rFonts w:ascii="Calibri" w:eastAsia="Calibri" w:hAnsi="Calibri" w:cs="Calibri"/>
          <w:i/>
          <w:iCs/>
          <w:sz w:val="24"/>
          <w:szCs w:val="24"/>
        </w:rPr>
        <w:t>Pattadath</w:t>
      </w:r>
      <w:proofErr w:type="spellEnd"/>
      <w:r w:rsidRPr="00274099">
        <w:rPr>
          <w:rFonts w:ascii="Calibri" w:eastAsia="Calibri" w:hAnsi="Calibri" w:cs="Calibri"/>
          <w:i/>
          <w:iCs/>
          <w:sz w:val="24"/>
          <w:szCs w:val="24"/>
        </w:rPr>
        <w:t xml:space="preserve"> </w:t>
      </w:r>
    </w:p>
    <w:p w14:paraId="716625FD" w14:textId="77777777" w:rsidR="008866AF" w:rsidRPr="00274099" w:rsidRDefault="008866AF" w:rsidP="008866AF">
      <w:pPr>
        <w:spacing w:after="0" w:line="240" w:lineRule="auto"/>
        <w:ind w:left="720"/>
        <w:rPr>
          <w:rFonts w:ascii="Calibri" w:eastAsia="Calibri" w:hAnsi="Calibri" w:cs="Calibri"/>
          <w:sz w:val="24"/>
          <w:szCs w:val="24"/>
        </w:rPr>
      </w:pPr>
    </w:p>
    <w:p w14:paraId="76CC52DE"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Relational Futures of Disability: Questioning the</w:t>
      </w:r>
    </w:p>
    <w:p w14:paraId="17940783"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Problematization of Singlehood                                                               </w:t>
      </w:r>
      <w:r w:rsidRPr="00274099">
        <w:rPr>
          <w:rFonts w:ascii="Calibri" w:eastAsia="Calibri" w:hAnsi="Calibri" w:cs="Calibri"/>
          <w:b/>
          <w:bCs/>
          <w:sz w:val="28"/>
          <w:szCs w:val="28"/>
        </w:rPr>
        <w:t>8</w:t>
      </w:r>
    </w:p>
    <w:p w14:paraId="24F0DF9E"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 xml:space="preserve">-Arathi Saleef and </w:t>
      </w:r>
      <w:proofErr w:type="spellStart"/>
      <w:r w:rsidRPr="00274099">
        <w:rPr>
          <w:rFonts w:ascii="Calibri" w:eastAsia="Calibri" w:hAnsi="Calibri" w:cs="Calibri"/>
          <w:i/>
          <w:iCs/>
          <w:sz w:val="24"/>
          <w:szCs w:val="24"/>
        </w:rPr>
        <w:t>Raisun</w:t>
      </w:r>
      <w:proofErr w:type="spellEnd"/>
      <w:r w:rsidRPr="00274099">
        <w:rPr>
          <w:rFonts w:ascii="Calibri" w:eastAsia="Calibri" w:hAnsi="Calibri" w:cs="Calibri"/>
          <w:i/>
          <w:iCs/>
          <w:sz w:val="24"/>
          <w:szCs w:val="24"/>
        </w:rPr>
        <w:t xml:space="preserve"> Mathew</w:t>
      </w:r>
    </w:p>
    <w:p w14:paraId="47BF7EA0" w14:textId="77777777" w:rsidR="008866AF" w:rsidRPr="00274099" w:rsidRDefault="008866AF" w:rsidP="008866AF">
      <w:pPr>
        <w:spacing w:after="0" w:line="240" w:lineRule="auto"/>
        <w:rPr>
          <w:rFonts w:ascii="Calibri" w:eastAsia="Calibri" w:hAnsi="Calibri" w:cs="Calibri"/>
          <w:sz w:val="24"/>
          <w:szCs w:val="24"/>
        </w:rPr>
      </w:pPr>
    </w:p>
    <w:p w14:paraId="18698BE1"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2: Disability, Policy, and Practice in India</w:t>
      </w:r>
    </w:p>
    <w:p w14:paraId="242802B8" w14:textId="77777777" w:rsidR="008866AF" w:rsidRPr="00274099" w:rsidRDefault="008866AF" w:rsidP="008866AF">
      <w:pPr>
        <w:spacing w:after="0" w:line="240" w:lineRule="auto"/>
        <w:ind w:left="720"/>
        <w:jc w:val="center"/>
        <w:rPr>
          <w:rFonts w:ascii="Calibri" w:eastAsia="Calibri" w:hAnsi="Calibri" w:cs="Calibri"/>
          <w:sz w:val="24"/>
          <w:szCs w:val="24"/>
        </w:rPr>
      </w:pPr>
    </w:p>
    <w:p w14:paraId="2DFD075D"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From Legal Inclusion to Administrative Exclusion: </w:t>
      </w:r>
    </w:p>
    <w:p w14:paraId="5F104F4D"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Neurodivergent Persons and the Implementation                               </w:t>
      </w:r>
      <w:r w:rsidRPr="00274099">
        <w:rPr>
          <w:rFonts w:ascii="Calibri" w:eastAsia="Calibri" w:hAnsi="Calibri" w:cs="Calibri"/>
          <w:b/>
          <w:bCs/>
          <w:sz w:val="28"/>
          <w:szCs w:val="28"/>
        </w:rPr>
        <w:t>9</w:t>
      </w:r>
    </w:p>
    <w:p w14:paraId="0FBF38FB"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of Disability Reservations in India</w:t>
      </w:r>
    </w:p>
    <w:p w14:paraId="35F9C043"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-Irfan Rasool Najar and Sneha</w:t>
      </w:r>
    </w:p>
    <w:p w14:paraId="4951A454" w14:textId="77777777" w:rsidR="008866AF" w:rsidRPr="00274099" w:rsidRDefault="008866AF" w:rsidP="008866AF">
      <w:pPr>
        <w:spacing w:after="0" w:line="240" w:lineRule="auto"/>
        <w:ind w:left="720"/>
        <w:rPr>
          <w:rFonts w:ascii="Calibri" w:eastAsia="Calibri" w:hAnsi="Calibri" w:cs="Calibri"/>
          <w:sz w:val="24"/>
          <w:szCs w:val="24"/>
        </w:rPr>
      </w:pPr>
    </w:p>
    <w:p w14:paraId="5C1A0A1F"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Evidence on disability prevalence in India </w:t>
      </w:r>
    </w:p>
    <w:p w14:paraId="6E033EC5"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disaggregated by caste, gender, age and geography                          </w:t>
      </w:r>
      <w:r w:rsidRPr="00274099">
        <w:rPr>
          <w:rFonts w:ascii="Calibri" w:eastAsia="Calibri" w:hAnsi="Calibri" w:cs="Calibri"/>
          <w:b/>
          <w:bCs/>
          <w:sz w:val="28"/>
          <w:szCs w:val="28"/>
        </w:rPr>
        <w:t>10</w:t>
      </w:r>
    </w:p>
    <w:p w14:paraId="0D8C00E8"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-Sachu R Sunny</w:t>
      </w:r>
    </w:p>
    <w:p w14:paraId="4F0B8924" w14:textId="77777777" w:rsidR="008866AF" w:rsidRPr="00274099" w:rsidRDefault="008866AF" w:rsidP="008866AF">
      <w:pPr>
        <w:spacing w:after="0" w:line="240" w:lineRule="auto"/>
        <w:jc w:val="center"/>
        <w:rPr>
          <w:rFonts w:ascii="Calibri" w:eastAsia="Calibri" w:hAnsi="Calibri" w:cs="Calibri"/>
          <w:sz w:val="24"/>
          <w:szCs w:val="24"/>
        </w:rPr>
      </w:pPr>
    </w:p>
    <w:p w14:paraId="08990126"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3: State Power and Disability</w:t>
      </w:r>
    </w:p>
    <w:p w14:paraId="70CDC4D3" w14:textId="77777777" w:rsidR="008866AF" w:rsidRPr="00274099" w:rsidRDefault="008866AF" w:rsidP="008866AF">
      <w:pPr>
        <w:spacing w:after="0" w:line="240" w:lineRule="auto"/>
        <w:jc w:val="center"/>
        <w:rPr>
          <w:rFonts w:ascii="Calibri" w:eastAsia="Calibri" w:hAnsi="Calibri" w:cs="Calibri"/>
          <w:sz w:val="24"/>
          <w:szCs w:val="24"/>
        </w:rPr>
      </w:pPr>
    </w:p>
    <w:p w14:paraId="2104D16F"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Move Over Human Rights! Recovering Disability </w:t>
      </w:r>
    </w:p>
    <w:p w14:paraId="50E34FB0"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Futures for Half Encountered People                                                    </w:t>
      </w:r>
      <w:r w:rsidRPr="00274099">
        <w:rPr>
          <w:rFonts w:ascii="Calibri" w:eastAsia="Calibri" w:hAnsi="Calibri" w:cs="Calibri"/>
          <w:b/>
          <w:bCs/>
          <w:sz w:val="28"/>
          <w:szCs w:val="28"/>
        </w:rPr>
        <w:t>11</w:t>
      </w:r>
    </w:p>
    <w:p w14:paraId="3B74EDE7"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w:t>
      </w:r>
      <w:proofErr w:type="spellStart"/>
      <w:r w:rsidRPr="00274099">
        <w:rPr>
          <w:rFonts w:ascii="Calibri" w:eastAsia="Calibri" w:hAnsi="Calibri" w:cs="Calibri"/>
          <w:i/>
          <w:iCs/>
          <w:sz w:val="24"/>
          <w:szCs w:val="24"/>
        </w:rPr>
        <w:t>Sachendra</w:t>
      </w:r>
      <w:proofErr w:type="spellEnd"/>
      <w:r w:rsidRPr="00274099">
        <w:rPr>
          <w:rFonts w:ascii="Calibri" w:eastAsia="Calibri" w:hAnsi="Calibri" w:cs="Calibri"/>
          <w:i/>
          <w:iCs/>
          <w:sz w:val="24"/>
          <w:szCs w:val="24"/>
        </w:rPr>
        <w:t xml:space="preserve"> Pratap Yadav, Amit </w:t>
      </w:r>
      <w:proofErr w:type="spellStart"/>
      <w:r w:rsidRPr="00274099">
        <w:rPr>
          <w:rFonts w:ascii="Calibri" w:eastAsia="Calibri" w:hAnsi="Calibri" w:cs="Calibri"/>
          <w:i/>
          <w:iCs/>
          <w:sz w:val="24"/>
          <w:szCs w:val="24"/>
        </w:rPr>
        <w:t>Upadhyay,and</w:t>
      </w:r>
      <w:proofErr w:type="spellEnd"/>
      <w:r w:rsidRPr="00274099">
        <w:rPr>
          <w:rFonts w:ascii="Calibri" w:eastAsia="Calibri" w:hAnsi="Calibri" w:cs="Calibri"/>
          <w:i/>
          <w:iCs/>
          <w:sz w:val="24"/>
          <w:szCs w:val="24"/>
        </w:rPr>
        <w:t xml:space="preserve">  </w:t>
      </w:r>
      <w:proofErr w:type="spellStart"/>
      <w:r w:rsidRPr="00274099">
        <w:rPr>
          <w:rFonts w:ascii="Calibri" w:eastAsia="Calibri" w:hAnsi="Calibri" w:cs="Calibri"/>
          <w:i/>
          <w:iCs/>
          <w:sz w:val="24"/>
          <w:szCs w:val="24"/>
        </w:rPr>
        <w:t>Shilpaa</w:t>
      </w:r>
      <w:proofErr w:type="spellEnd"/>
      <w:r w:rsidRPr="00274099">
        <w:rPr>
          <w:rFonts w:ascii="Calibri" w:eastAsia="Calibri" w:hAnsi="Calibri" w:cs="Calibri"/>
          <w:i/>
          <w:iCs/>
          <w:sz w:val="24"/>
          <w:szCs w:val="24"/>
        </w:rPr>
        <w:t xml:space="preserve"> Anand</w:t>
      </w:r>
    </w:p>
    <w:p w14:paraId="0FD77E07" w14:textId="77777777" w:rsidR="008866AF" w:rsidRPr="00274099" w:rsidRDefault="008866AF" w:rsidP="008866AF">
      <w:pPr>
        <w:spacing w:after="0" w:line="240" w:lineRule="auto"/>
        <w:ind w:left="720"/>
        <w:rPr>
          <w:rFonts w:ascii="Calibri" w:eastAsia="Calibri" w:hAnsi="Calibri" w:cs="Calibri"/>
          <w:sz w:val="24"/>
          <w:szCs w:val="24"/>
        </w:rPr>
      </w:pPr>
    </w:p>
    <w:p w14:paraId="590A947B"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Governing Disability in Digital India: A Governmentality </w:t>
      </w:r>
    </w:p>
    <w:p w14:paraId="05EF0688"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Analysis of the Unique Disability ID (UDID) System                            </w:t>
      </w:r>
      <w:r w:rsidRPr="00274099">
        <w:rPr>
          <w:rFonts w:ascii="Calibri" w:eastAsia="Calibri" w:hAnsi="Calibri" w:cs="Calibri"/>
          <w:b/>
          <w:bCs/>
          <w:sz w:val="28"/>
          <w:szCs w:val="28"/>
        </w:rPr>
        <w:t>12</w:t>
      </w:r>
    </w:p>
    <w:p w14:paraId="3DDA4CB3"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-K. K. Prahalad, and Nivedita Krishna</w:t>
      </w:r>
    </w:p>
    <w:p w14:paraId="7ABD38D4" w14:textId="77777777" w:rsidR="008866AF" w:rsidRPr="00274099" w:rsidRDefault="008866AF" w:rsidP="008866AF">
      <w:pPr>
        <w:spacing w:after="0" w:line="240" w:lineRule="auto"/>
        <w:ind w:left="720"/>
        <w:rPr>
          <w:rFonts w:ascii="Calibri" w:eastAsia="Calibri" w:hAnsi="Calibri" w:cs="Calibri"/>
          <w:sz w:val="24"/>
          <w:szCs w:val="24"/>
        </w:rPr>
      </w:pPr>
    </w:p>
    <w:p w14:paraId="483A19FF"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Disability Poetics Witnessing Palestine                                                  </w:t>
      </w:r>
    </w:p>
    <w:p w14:paraId="78042493"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w:t>
      </w:r>
      <w:r w:rsidRPr="00274099">
        <w:rPr>
          <w:rFonts w:ascii="Calibri" w:eastAsia="Calibri" w:hAnsi="Calibri" w:cs="Calibri"/>
          <w:i/>
          <w:iCs/>
          <w:sz w:val="24"/>
          <w:szCs w:val="24"/>
        </w:rPr>
        <w:t xml:space="preserve">Rimjhim Bhattacherjee                                                                          </w:t>
      </w:r>
      <w:r w:rsidRPr="00274099">
        <w:rPr>
          <w:rFonts w:ascii="Calibri" w:eastAsia="Calibri" w:hAnsi="Calibri" w:cs="Calibri"/>
          <w:b/>
          <w:bCs/>
          <w:sz w:val="28"/>
          <w:szCs w:val="28"/>
        </w:rPr>
        <w:t>13</w:t>
      </w:r>
    </w:p>
    <w:p w14:paraId="51FC0C8B" w14:textId="77777777" w:rsidR="008866AF" w:rsidRPr="00274099" w:rsidRDefault="008866AF" w:rsidP="008866AF">
      <w:pPr>
        <w:spacing w:after="0" w:line="240" w:lineRule="auto"/>
        <w:jc w:val="center"/>
        <w:rPr>
          <w:rFonts w:ascii="Calibri" w:eastAsia="Calibri" w:hAnsi="Calibri" w:cs="Calibri"/>
          <w:sz w:val="24"/>
          <w:szCs w:val="24"/>
        </w:rPr>
      </w:pPr>
    </w:p>
    <w:p w14:paraId="4D7A1520"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lastRenderedPageBreak/>
        <w:t>Panel 4: Disability and Cinema</w:t>
      </w:r>
    </w:p>
    <w:p w14:paraId="5F89444A" w14:textId="77777777" w:rsidR="008866AF" w:rsidRPr="00274099" w:rsidRDefault="008866AF" w:rsidP="008866AF">
      <w:pPr>
        <w:spacing w:after="0" w:line="240" w:lineRule="auto"/>
        <w:rPr>
          <w:rFonts w:ascii="Calibri" w:eastAsia="Calibri" w:hAnsi="Calibri" w:cs="Calibri"/>
          <w:sz w:val="24"/>
          <w:szCs w:val="24"/>
        </w:rPr>
      </w:pPr>
    </w:p>
    <w:p w14:paraId="300DB8A7"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The </w:t>
      </w:r>
      <w:proofErr w:type="spellStart"/>
      <w:r w:rsidRPr="00274099">
        <w:rPr>
          <w:rFonts w:ascii="Calibri" w:eastAsia="Calibri" w:hAnsi="Calibri" w:cs="Calibri"/>
          <w:sz w:val="24"/>
          <w:szCs w:val="24"/>
        </w:rPr>
        <w:t>Thyagi</w:t>
      </w:r>
      <w:proofErr w:type="spellEnd"/>
      <w:r w:rsidRPr="00274099">
        <w:rPr>
          <w:rFonts w:ascii="Calibri" w:eastAsia="Calibri" w:hAnsi="Calibri" w:cs="Calibri"/>
          <w:sz w:val="24"/>
          <w:szCs w:val="24"/>
        </w:rPr>
        <w:t xml:space="preserve"> Trope of Disability Representation: </w:t>
      </w:r>
    </w:p>
    <w:p w14:paraId="1971BC7B"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Explicating the Discourse of Disability in the                                        </w:t>
      </w:r>
      <w:r w:rsidRPr="00274099">
        <w:rPr>
          <w:rFonts w:ascii="Calibri" w:eastAsia="Calibri" w:hAnsi="Calibri" w:cs="Calibri"/>
          <w:b/>
          <w:bCs/>
          <w:sz w:val="28"/>
          <w:szCs w:val="28"/>
        </w:rPr>
        <w:t>14</w:t>
      </w:r>
    </w:p>
    <w:p w14:paraId="3B587E0B"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 xml:space="preserve">Tamil movie Mani </w:t>
      </w:r>
      <w:proofErr w:type="spellStart"/>
      <w:r w:rsidRPr="00274099">
        <w:rPr>
          <w:rFonts w:ascii="Calibri" w:eastAsia="Calibri" w:hAnsi="Calibri" w:cs="Calibri"/>
          <w:sz w:val="24"/>
          <w:szCs w:val="24"/>
        </w:rPr>
        <w:t>Osai</w:t>
      </w:r>
      <w:proofErr w:type="spellEnd"/>
      <w:r w:rsidRPr="00274099">
        <w:rPr>
          <w:rFonts w:ascii="Calibri" w:eastAsia="Calibri" w:hAnsi="Calibri" w:cs="Calibri"/>
          <w:sz w:val="24"/>
          <w:szCs w:val="24"/>
        </w:rPr>
        <w:t xml:space="preserve"> (1963) </w:t>
      </w:r>
    </w:p>
    <w:p w14:paraId="4CE85126"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 xml:space="preserve">-Kathiresan G., and </w:t>
      </w:r>
      <w:proofErr w:type="spellStart"/>
      <w:r w:rsidRPr="00274099">
        <w:rPr>
          <w:rFonts w:ascii="Calibri" w:eastAsia="Calibri" w:hAnsi="Calibri" w:cs="Calibri"/>
          <w:i/>
          <w:iCs/>
          <w:sz w:val="24"/>
          <w:szCs w:val="24"/>
        </w:rPr>
        <w:t>Doreswamy</w:t>
      </w:r>
      <w:proofErr w:type="spellEnd"/>
    </w:p>
    <w:p w14:paraId="077E00E4" w14:textId="77777777" w:rsidR="008866AF" w:rsidRPr="00274099" w:rsidRDefault="008866AF" w:rsidP="008866AF">
      <w:pPr>
        <w:spacing w:after="0" w:line="240" w:lineRule="auto"/>
        <w:ind w:left="720"/>
        <w:rPr>
          <w:rFonts w:ascii="Calibri" w:eastAsia="Calibri" w:hAnsi="Calibri" w:cs="Calibri"/>
          <w:sz w:val="24"/>
          <w:szCs w:val="24"/>
        </w:rPr>
      </w:pPr>
    </w:p>
    <w:p w14:paraId="07F4D564"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Staring at Disability: Production of Ableist in </w:t>
      </w:r>
    </w:p>
    <w:p w14:paraId="56AB1766" w14:textId="3FA411E6"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Hindi Cinema from Creation to </w:t>
      </w:r>
      <w:r w:rsidR="00725E10" w:rsidRPr="00274099">
        <w:rPr>
          <w:rFonts w:ascii="Calibri" w:eastAsia="Calibri" w:hAnsi="Calibri" w:cs="Calibri"/>
          <w:sz w:val="24"/>
          <w:szCs w:val="24"/>
        </w:rPr>
        <w:t>Consumption</w:t>
      </w:r>
      <w:r w:rsidRPr="00274099">
        <w:rPr>
          <w:rFonts w:ascii="Calibri" w:eastAsia="Calibri" w:hAnsi="Calibri" w:cs="Calibri"/>
          <w:sz w:val="24"/>
          <w:szCs w:val="24"/>
        </w:rPr>
        <w:t xml:space="preserve"> </w:t>
      </w:r>
      <w:r w:rsidR="00725E10">
        <w:rPr>
          <w:rFonts w:ascii="Calibri" w:eastAsia="Calibri" w:hAnsi="Calibri" w:cs="Calibri"/>
          <w:sz w:val="24"/>
          <w:szCs w:val="24"/>
        </w:rPr>
        <w:tab/>
      </w:r>
      <w:r w:rsidR="00725E10">
        <w:rPr>
          <w:rFonts w:ascii="Calibri" w:eastAsia="Calibri" w:hAnsi="Calibri" w:cs="Calibri"/>
          <w:sz w:val="24"/>
          <w:szCs w:val="24"/>
        </w:rPr>
        <w:tab/>
      </w:r>
      <w:r w:rsidR="00725E10">
        <w:rPr>
          <w:rFonts w:ascii="Calibri" w:eastAsia="Calibri" w:hAnsi="Calibri" w:cs="Calibri"/>
          <w:sz w:val="24"/>
          <w:szCs w:val="24"/>
        </w:rPr>
        <w:tab/>
      </w:r>
      <w:r w:rsidRPr="00274099">
        <w:rPr>
          <w:rFonts w:ascii="Calibri" w:eastAsia="Calibri" w:hAnsi="Calibri" w:cs="Calibri"/>
          <w:b/>
          <w:bCs/>
          <w:sz w:val="28"/>
          <w:szCs w:val="28"/>
        </w:rPr>
        <w:t>15</w:t>
      </w:r>
    </w:p>
    <w:p w14:paraId="7CAD7520" w14:textId="3F47B27F" w:rsidR="008866AF" w:rsidRPr="00725E10" w:rsidRDefault="00725E10" w:rsidP="008866AF">
      <w:pPr>
        <w:spacing w:after="0" w:line="240" w:lineRule="auto"/>
        <w:ind w:left="720"/>
        <w:rPr>
          <w:rFonts w:ascii="Calibri" w:eastAsia="Calibri" w:hAnsi="Calibri" w:cs="Calibri"/>
          <w:i/>
          <w:iCs/>
          <w:sz w:val="24"/>
          <w:szCs w:val="24"/>
        </w:rPr>
      </w:pPr>
      <w:r w:rsidRPr="00725E10">
        <w:rPr>
          <w:rFonts w:ascii="Calibri" w:eastAsia="Calibri" w:hAnsi="Calibri" w:cs="Calibri"/>
          <w:i/>
          <w:iCs/>
          <w:sz w:val="24"/>
          <w:szCs w:val="24"/>
        </w:rPr>
        <w:t>-</w:t>
      </w:r>
      <w:r w:rsidR="008866AF" w:rsidRPr="00725E10">
        <w:rPr>
          <w:rFonts w:ascii="Calibri" w:eastAsia="Calibri" w:hAnsi="Calibri" w:cs="Calibri"/>
          <w:i/>
          <w:iCs/>
          <w:sz w:val="24"/>
          <w:szCs w:val="24"/>
        </w:rPr>
        <w:t>Ajaykumar Shukla</w:t>
      </w:r>
    </w:p>
    <w:p w14:paraId="25733AFF" w14:textId="77777777" w:rsidR="008866AF" w:rsidRPr="00274099" w:rsidRDefault="008866AF" w:rsidP="008866AF">
      <w:pPr>
        <w:spacing w:after="0" w:line="240" w:lineRule="auto"/>
        <w:rPr>
          <w:rFonts w:ascii="Calibri" w:eastAsia="Calibri" w:hAnsi="Calibri" w:cs="Calibri"/>
          <w:sz w:val="24"/>
          <w:szCs w:val="24"/>
        </w:rPr>
      </w:pPr>
    </w:p>
    <w:p w14:paraId="50AB118B"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5: Power, Knowledge, and Critique</w:t>
      </w:r>
    </w:p>
    <w:p w14:paraId="4DCCD138" w14:textId="77777777" w:rsidR="008866AF" w:rsidRPr="00274099" w:rsidRDefault="008866AF" w:rsidP="008866AF">
      <w:pPr>
        <w:spacing w:after="0" w:line="240" w:lineRule="auto"/>
        <w:rPr>
          <w:rFonts w:ascii="Calibri" w:eastAsia="Calibri" w:hAnsi="Calibri" w:cs="Calibri"/>
          <w:sz w:val="24"/>
          <w:szCs w:val="24"/>
        </w:rPr>
      </w:pPr>
    </w:p>
    <w:p w14:paraId="4583355F"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Critical Caste and Disability Studies: </w:t>
      </w:r>
    </w:p>
    <w:p w14:paraId="55A36A28"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Alignments and Rupture                                                                           </w:t>
      </w:r>
      <w:r w:rsidRPr="00274099">
        <w:rPr>
          <w:rFonts w:ascii="Calibri" w:eastAsia="Calibri" w:hAnsi="Calibri" w:cs="Calibri"/>
          <w:b/>
          <w:bCs/>
          <w:sz w:val="28"/>
          <w:szCs w:val="28"/>
        </w:rPr>
        <w:t>16</w:t>
      </w:r>
    </w:p>
    <w:p w14:paraId="792C68E7"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 xml:space="preserve">-Anubha Anusree, </w:t>
      </w:r>
      <w:proofErr w:type="spellStart"/>
      <w:r w:rsidRPr="00274099">
        <w:rPr>
          <w:rFonts w:ascii="Calibri" w:eastAsia="Calibri" w:hAnsi="Calibri" w:cs="Calibri"/>
          <w:i/>
          <w:iCs/>
          <w:sz w:val="24"/>
          <w:szCs w:val="24"/>
        </w:rPr>
        <w:t>Shilpaa</w:t>
      </w:r>
      <w:proofErr w:type="spellEnd"/>
      <w:r w:rsidRPr="00274099">
        <w:rPr>
          <w:rFonts w:ascii="Calibri" w:eastAsia="Calibri" w:hAnsi="Calibri" w:cs="Calibri"/>
          <w:i/>
          <w:iCs/>
          <w:sz w:val="24"/>
          <w:szCs w:val="24"/>
        </w:rPr>
        <w:t xml:space="preserve"> Anand, Akanksha Mehta, </w:t>
      </w:r>
    </w:p>
    <w:p w14:paraId="37C16718"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Jiya Pandya, and Meghana Rao</w:t>
      </w:r>
    </w:p>
    <w:p w14:paraId="119CE341" w14:textId="77777777" w:rsidR="008866AF" w:rsidRPr="00274099" w:rsidRDefault="008866AF" w:rsidP="008866AF">
      <w:pPr>
        <w:spacing w:after="0" w:line="240" w:lineRule="auto"/>
        <w:ind w:left="720"/>
        <w:rPr>
          <w:rFonts w:ascii="Calibri" w:eastAsia="Calibri" w:hAnsi="Calibri" w:cs="Calibri"/>
          <w:sz w:val="24"/>
          <w:szCs w:val="24"/>
        </w:rPr>
      </w:pPr>
    </w:p>
    <w:p w14:paraId="4AC6FECB"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Challenging the Myth of a Caring Constitution: </w:t>
      </w:r>
    </w:p>
    <w:p w14:paraId="4F2984D7"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Reflection from Crip Hermeneutics of Suspicion                                  </w:t>
      </w:r>
      <w:r w:rsidRPr="00274099">
        <w:rPr>
          <w:rFonts w:ascii="Calibri" w:eastAsia="Calibri" w:hAnsi="Calibri" w:cs="Calibri"/>
          <w:b/>
          <w:bCs/>
          <w:sz w:val="28"/>
          <w:szCs w:val="28"/>
        </w:rPr>
        <w:t>17</w:t>
      </w:r>
    </w:p>
    <w:p w14:paraId="06DA16CF"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-Vijay Kishor Tiwari</w:t>
      </w:r>
    </w:p>
    <w:p w14:paraId="77A9A97C" w14:textId="77777777" w:rsidR="008866AF" w:rsidRPr="00274099" w:rsidRDefault="008866AF" w:rsidP="008866AF">
      <w:pPr>
        <w:spacing w:after="0" w:line="240" w:lineRule="auto"/>
        <w:ind w:left="720"/>
        <w:rPr>
          <w:rFonts w:ascii="Calibri" w:eastAsia="Calibri" w:hAnsi="Calibri" w:cs="Calibri"/>
          <w:sz w:val="24"/>
          <w:szCs w:val="24"/>
        </w:rPr>
      </w:pPr>
    </w:p>
    <w:p w14:paraId="42D7F348"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The Politics of Silence: Foucauldian Discursive </w:t>
      </w:r>
    </w:p>
    <w:p w14:paraId="719CE719"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Analytics as Methodology for Challenging                                            </w:t>
      </w:r>
      <w:r w:rsidRPr="00274099">
        <w:rPr>
          <w:rFonts w:ascii="Calibri" w:eastAsia="Calibri" w:hAnsi="Calibri" w:cs="Calibri"/>
          <w:b/>
          <w:bCs/>
          <w:sz w:val="28"/>
          <w:szCs w:val="28"/>
        </w:rPr>
        <w:t>18</w:t>
      </w:r>
    </w:p>
    <w:p w14:paraId="2B5A9109"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 xml:space="preserve">Ableist Knowledge Structures </w:t>
      </w:r>
    </w:p>
    <w:p w14:paraId="4C7ACFEC"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w:t>
      </w:r>
      <w:proofErr w:type="spellStart"/>
      <w:r w:rsidRPr="00274099">
        <w:rPr>
          <w:rFonts w:ascii="Calibri" w:eastAsia="Calibri" w:hAnsi="Calibri" w:cs="Calibri"/>
          <w:i/>
          <w:iCs/>
          <w:sz w:val="24"/>
          <w:szCs w:val="24"/>
        </w:rPr>
        <w:t>Neelaksh</w:t>
      </w:r>
      <w:proofErr w:type="spellEnd"/>
      <w:r w:rsidRPr="00274099">
        <w:rPr>
          <w:rFonts w:ascii="Calibri" w:eastAsia="Calibri" w:hAnsi="Calibri" w:cs="Calibri"/>
          <w:i/>
          <w:iCs/>
          <w:sz w:val="24"/>
          <w:szCs w:val="24"/>
        </w:rPr>
        <w:t xml:space="preserve"> </w:t>
      </w:r>
      <w:proofErr w:type="spellStart"/>
      <w:r w:rsidRPr="00274099">
        <w:rPr>
          <w:rFonts w:ascii="Calibri" w:eastAsia="Calibri" w:hAnsi="Calibri" w:cs="Calibri"/>
          <w:i/>
          <w:iCs/>
          <w:sz w:val="24"/>
          <w:szCs w:val="24"/>
        </w:rPr>
        <w:t>Pithauria</w:t>
      </w:r>
      <w:proofErr w:type="spellEnd"/>
    </w:p>
    <w:p w14:paraId="05A564E4" w14:textId="77777777" w:rsidR="008866AF" w:rsidRPr="00274099" w:rsidRDefault="008866AF" w:rsidP="008866AF">
      <w:pPr>
        <w:spacing w:after="0" w:line="240" w:lineRule="auto"/>
        <w:rPr>
          <w:rFonts w:ascii="Calibri" w:eastAsia="Calibri" w:hAnsi="Calibri" w:cs="Calibri"/>
          <w:b/>
          <w:bCs/>
          <w:sz w:val="24"/>
          <w:szCs w:val="24"/>
        </w:rPr>
      </w:pPr>
    </w:p>
    <w:p w14:paraId="16FBFDEA" w14:textId="77777777" w:rsidR="008866AF" w:rsidRPr="00274099" w:rsidRDefault="008866AF" w:rsidP="008866AF">
      <w:pPr>
        <w:spacing w:after="0" w:line="240" w:lineRule="auto"/>
        <w:rPr>
          <w:rFonts w:ascii="Calibri" w:eastAsia="Calibri" w:hAnsi="Calibri" w:cs="Calibri"/>
          <w:b/>
          <w:bCs/>
          <w:sz w:val="24"/>
          <w:szCs w:val="24"/>
        </w:rPr>
      </w:pPr>
    </w:p>
    <w:p w14:paraId="4F3DD679" w14:textId="351C3A79"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6A: Access, Art, and Inclusion</w:t>
      </w:r>
    </w:p>
    <w:p w14:paraId="1259D05A" w14:textId="77777777" w:rsidR="008866AF" w:rsidRPr="00274099" w:rsidRDefault="008866AF" w:rsidP="008866AF">
      <w:pPr>
        <w:spacing w:after="0" w:line="240" w:lineRule="auto"/>
        <w:rPr>
          <w:rFonts w:ascii="Calibri" w:eastAsia="Calibri" w:hAnsi="Calibri" w:cs="Calibri"/>
          <w:sz w:val="24"/>
          <w:szCs w:val="24"/>
        </w:rPr>
      </w:pPr>
    </w:p>
    <w:p w14:paraId="1A9AD1DB"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Access beyond accessibility: The story of </w:t>
      </w:r>
    </w:p>
    <w:p w14:paraId="40718B23"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curating an inclusive art exhibition in India                                           </w:t>
      </w:r>
      <w:r w:rsidRPr="00274099">
        <w:rPr>
          <w:rFonts w:ascii="Calibri" w:eastAsia="Calibri" w:hAnsi="Calibri" w:cs="Calibri"/>
          <w:b/>
          <w:bCs/>
          <w:sz w:val="28"/>
          <w:szCs w:val="28"/>
        </w:rPr>
        <w:t>19</w:t>
      </w:r>
    </w:p>
    <w:p w14:paraId="3FF34C50" w14:textId="1AAF56D0"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-Shubha Ranganathan</w:t>
      </w:r>
    </w:p>
    <w:p w14:paraId="0CD0BF5A" w14:textId="77777777" w:rsidR="008866AF" w:rsidRPr="00274099" w:rsidRDefault="008866AF" w:rsidP="008866AF">
      <w:pPr>
        <w:spacing w:after="0" w:line="240" w:lineRule="auto"/>
        <w:ind w:left="720"/>
        <w:rPr>
          <w:rFonts w:ascii="Calibri" w:eastAsia="Calibri" w:hAnsi="Calibri" w:cs="Calibri"/>
          <w:i/>
          <w:iCs/>
          <w:sz w:val="24"/>
          <w:szCs w:val="24"/>
        </w:rPr>
      </w:pPr>
    </w:p>
    <w:p w14:paraId="73C371B3"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Playback Theatre as a Participatory </w:t>
      </w:r>
    </w:p>
    <w:p w14:paraId="2BEDDBA9"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Approach to Disability Awareness                                                           </w:t>
      </w:r>
      <w:r w:rsidRPr="00274099">
        <w:rPr>
          <w:rFonts w:ascii="Calibri" w:eastAsia="Calibri" w:hAnsi="Calibri" w:cs="Calibri"/>
          <w:b/>
          <w:bCs/>
          <w:sz w:val="28"/>
          <w:szCs w:val="28"/>
        </w:rPr>
        <w:t>20</w:t>
      </w:r>
    </w:p>
    <w:p w14:paraId="5F10B125"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-Dr. Radhika Jain, Bejoy Balagopal, and Umashankar Veeravalli</w:t>
      </w:r>
    </w:p>
    <w:p w14:paraId="1E68AE9C" w14:textId="77777777" w:rsidR="008866AF" w:rsidRPr="00274099" w:rsidRDefault="008866AF" w:rsidP="008866AF">
      <w:pPr>
        <w:spacing w:after="0" w:line="240" w:lineRule="auto"/>
        <w:rPr>
          <w:rFonts w:ascii="Calibri" w:eastAsia="Calibri" w:hAnsi="Calibri" w:cs="Calibri"/>
          <w:b/>
          <w:bCs/>
          <w:sz w:val="24"/>
          <w:szCs w:val="24"/>
        </w:rPr>
      </w:pPr>
    </w:p>
    <w:p w14:paraId="67B15243" w14:textId="77777777" w:rsidR="00344C97" w:rsidRDefault="00344C97" w:rsidP="008866AF">
      <w:pPr>
        <w:spacing w:after="0" w:line="240" w:lineRule="auto"/>
        <w:rPr>
          <w:rFonts w:ascii="Calibri" w:eastAsia="Calibri" w:hAnsi="Calibri" w:cs="Calibri"/>
          <w:b/>
          <w:bCs/>
          <w:sz w:val="24"/>
          <w:szCs w:val="24"/>
        </w:rPr>
      </w:pPr>
    </w:p>
    <w:p w14:paraId="5D5885D8" w14:textId="77777777" w:rsidR="00344C97" w:rsidRDefault="00344C97" w:rsidP="008866AF">
      <w:pPr>
        <w:spacing w:after="0" w:line="240" w:lineRule="auto"/>
        <w:rPr>
          <w:rFonts w:ascii="Calibri" w:eastAsia="Calibri" w:hAnsi="Calibri" w:cs="Calibri"/>
          <w:b/>
          <w:bCs/>
          <w:sz w:val="24"/>
          <w:szCs w:val="24"/>
        </w:rPr>
      </w:pPr>
    </w:p>
    <w:p w14:paraId="1064EEED" w14:textId="77777777" w:rsidR="00344C97" w:rsidRDefault="00344C97" w:rsidP="008866AF">
      <w:pPr>
        <w:spacing w:after="0" w:line="240" w:lineRule="auto"/>
        <w:rPr>
          <w:rFonts w:ascii="Calibri" w:eastAsia="Calibri" w:hAnsi="Calibri" w:cs="Calibri"/>
          <w:b/>
          <w:bCs/>
          <w:sz w:val="24"/>
          <w:szCs w:val="24"/>
        </w:rPr>
      </w:pPr>
    </w:p>
    <w:p w14:paraId="30FF6C2B" w14:textId="28138869"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lastRenderedPageBreak/>
        <w:t>Panel 6B: Accessibility, Technology, and Pedagogy</w:t>
      </w:r>
    </w:p>
    <w:p w14:paraId="0824548F" w14:textId="77777777" w:rsidR="00344C97" w:rsidRPr="00274099" w:rsidRDefault="00344C97" w:rsidP="008866AF">
      <w:pPr>
        <w:spacing w:after="0" w:line="240" w:lineRule="auto"/>
        <w:rPr>
          <w:rFonts w:ascii="Calibri" w:eastAsia="Calibri" w:hAnsi="Calibri" w:cs="Calibri"/>
          <w:sz w:val="24"/>
          <w:szCs w:val="24"/>
        </w:rPr>
      </w:pPr>
    </w:p>
    <w:p w14:paraId="693D9D12"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Re/imagining Deaf </w:t>
      </w:r>
      <w:proofErr w:type="spellStart"/>
      <w:r w:rsidRPr="00274099">
        <w:rPr>
          <w:rFonts w:ascii="Calibri" w:eastAsia="Calibri" w:hAnsi="Calibri" w:cs="Calibri"/>
          <w:sz w:val="24"/>
          <w:szCs w:val="24"/>
        </w:rPr>
        <w:t>CripTechno</w:t>
      </w:r>
      <w:proofErr w:type="spellEnd"/>
      <w:r w:rsidRPr="00274099">
        <w:rPr>
          <w:rFonts w:ascii="Calibri" w:eastAsia="Calibri" w:hAnsi="Calibri" w:cs="Calibri"/>
          <w:sz w:val="24"/>
          <w:szCs w:val="24"/>
        </w:rPr>
        <w:t xml:space="preserve">-Futures: From </w:t>
      </w:r>
    </w:p>
    <w:p w14:paraId="7BBF9A65"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'Technologies for Deaf' to 'Technologies by/with Deaf'                       </w:t>
      </w:r>
      <w:r w:rsidRPr="00274099">
        <w:rPr>
          <w:rFonts w:ascii="Calibri" w:eastAsia="Calibri" w:hAnsi="Calibri" w:cs="Calibri"/>
          <w:b/>
          <w:bCs/>
          <w:sz w:val="28"/>
          <w:szCs w:val="28"/>
        </w:rPr>
        <w:t xml:space="preserve">21 </w:t>
      </w:r>
    </w:p>
    <w:p w14:paraId="00931340"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 xml:space="preserve">-Rashmi Malhotra </w:t>
      </w:r>
    </w:p>
    <w:p w14:paraId="255629C9" w14:textId="77777777" w:rsidR="008866AF" w:rsidRPr="00274099" w:rsidRDefault="008866AF" w:rsidP="008866AF">
      <w:pPr>
        <w:spacing w:after="0" w:line="240" w:lineRule="auto"/>
        <w:ind w:left="720"/>
        <w:jc w:val="center"/>
        <w:rPr>
          <w:rFonts w:ascii="Calibri" w:eastAsia="Calibri" w:hAnsi="Calibri" w:cs="Calibri"/>
          <w:sz w:val="24"/>
          <w:szCs w:val="24"/>
        </w:rPr>
      </w:pPr>
    </w:p>
    <w:p w14:paraId="758DCBF3"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Hands-On Humanities: Tactile Games as </w:t>
      </w:r>
    </w:p>
    <w:p w14:paraId="5BD61D01"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Accessible Pedagogical Tools                                                                    </w:t>
      </w:r>
      <w:r w:rsidRPr="00274099">
        <w:rPr>
          <w:rFonts w:ascii="Calibri" w:eastAsia="Calibri" w:hAnsi="Calibri" w:cs="Calibri"/>
          <w:b/>
          <w:bCs/>
          <w:sz w:val="28"/>
          <w:szCs w:val="28"/>
        </w:rPr>
        <w:t>22</w:t>
      </w:r>
    </w:p>
    <w:p w14:paraId="40238B00"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w:t>
      </w:r>
      <w:proofErr w:type="spellStart"/>
      <w:r w:rsidRPr="00274099">
        <w:rPr>
          <w:rFonts w:ascii="Calibri" w:eastAsia="Calibri" w:hAnsi="Calibri" w:cs="Calibri"/>
          <w:i/>
          <w:iCs/>
          <w:sz w:val="24"/>
          <w:szCs w:val="24"/>
        </w:rPr>
        <w:t>Shaswata</w:t>
      </w:r>
      <w:proofErr w:type="spellEnd"/>
      <w:r w:rsidRPr="00274099">
        <w:rPr>
          <w:rFonts w:ascii="Calibri" w:eastAsia="Calibri" w:hAnsi="Calibri" w:cs="Calibri"/>
          <w:i/>
          <w:iCs/>
          <w:sz w:val="24"/>
          <w:szCs w:val="24"/>
        </w:rPr>
        <w:t xml:space="preserve"> Bandyopadhyay, Ishan Chakraborty</w:t>
      </w:r>
    </w:p>
    <w:p w14:paraId="2E985E76" w14:textId="77777777" w:rsidR="008866AF" w:rsidRPr="00274099" w:rsidRDefault="008866AF" w:rsidP="008866AF">
      <w:pPr>
        <w:spacing w:after="0" w:line="240" w:lineRule="auto"/>
        <w:rPr>
          <w:rFonts w:ascii="Calibri" w:eastAsia="Calibri" w:hAnsi="Calibri" w:cs="Calibri"/>
          <w:sz w:val="24"/>
          <w:szCs w:val="24"/>
        </w:rPr>
      </w:pPr>
    </w:p>
    <w:p w14:paraId="266C9814"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7: Affective Communities</w:t>
      </w:r>
    </w:p>
    <w:p w14:paraId="2F130E7C" w14:textId="77777777" w:rsidR="008866AF" w:rsidRPr="00274099" w:rsidRDefault="008866AF" w:rsidP="008866AF">
      <w:pPr>
        <w:spacing w:after="0" w:line="240" w:lineRule="auto"/>
        <w:rPr>
          <w:rFonts w:ascii="Calibri" w:eastAsia="Calibri" w:hAnsi="Calibri" w:cs="Calibri"/>
          <w:sz w:val="24"/>
          <w:szCs w:val="24"/>
        </w:rPr>
      </w:pPr>
    </w:p>
    <w:p w14:paraId="091F6F03"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Embodying the Non-Visual Assistive Technologies: </w:t>
      </w:r>
    </w:p>
    <w:p w14:paraId="15F26FE7"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Studying the 'affect' in the Schools for the Blind                                  </w:t>
      </w:r>
      <w:r w:rsidRPr="00274099">
        <w:rPr>
          <w:rFonts w:ascii="Calibri" w:eastAsia="Calibri" w:hAnsi="Calibri" w:cs="Calibri"/>
          <w:b/>
          <w:bCs/>
          <w:sz w:val="28"/>
          <w:szCs w:val="28"/>
        </w:rPr>
        <w:t>23</w:t>
      </w:r>
    </w:p>
    <w:p w14:paraId="10BBB209"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w:t>
      </w:r>
      <w:proofErr w:type="spellStart"/>
      <w:r w:rsidRPr="00274099">
        <w:rPr>
          <w:rFonts w:ascii="Calibri" w:eastAsia="Calibri" w:hAnsi="Calibri" w:cs="Calibri"/>
          <w:i/>
          <w:iCs/>
          <w:sz w:val="24"/>
          <w:szCs w:val="24"/>
        </w:rPr>
        <w:t>Satyabrata</w:t>
      </w:r>
      <w:proofErr w:type="spellEnd"/>
      <w:r w:rsidRPr="00274099">
        <w:rPr>
          <w:rFonts w:ascii="Calibri" w:eastAsia="Calibri" w:hAnsi="Calibri" w:cs="Calibri"/>
          <w:i/>
          <w:iCs/>
          <w:sz w:val="24"/>
          <w:szCs w:val="24"/>
        </w:rPr>
        <w:t xml:space="preserve"> Sahoo</w:t>
      </w:r>
    </w:p>
    <w:p w14:paraId="0BA9B0D4" w14:textId="77777777" w:rsidR="008866AF" w:rsidRPr="00274099" w:rsidRDefault="008866AF" w:rsidP="008866AF">
      <w:pPr>
        <w:spacing w:after="0" w:line="240" w:lineRule="auto"/>
        <w:ind w:left="720"/>
        <w:rPr>
          <w:rFonts w:ascii="Calibri" w:eastAsia="Calibri" w:hAnsi="Calibri" w:cs="Calibri"/>
          <w:sz w:val="24"/>
          <w:szCs w:val="24"/>
        </w:rPr>
      </w:pPr>
    </w:p>
    <w:p w14:paraId="07F17947"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Affective Publics/Affected Publics: Locating </w:t>
      </w:r>
    </w:p>
    <w:p w14:paraId="55C65E7A" w14:textId="77777777" w:rsidR="008866AF" w:rsidRPr="00274099" w:rsidRDefault="008866AF" w:rsidP="008866AF">
      <w:pPr>
        <w:spacing w:after="0" w:line="240" w:lineRule="auto"/>
        <w:ind w:left="720"/>
        <w:rPr>
          <w:rFonts w:ascii="Calibri" w:eastAsia="Calibri" w:hAnsi="Calibri" w:cs="Calibri"/>
          <w:b/>
          <w:bCs/>
          <w:sz w:val="24"/>
          <w:szCs w:val="24"/>
        </w:rPr>
      </w:pPr>
      <w:r w:rsidRPr="00274099">
        <w:rPr>
          <w:rFonts w:ascii="Calibri" w:eastAsia="Calibri" w:hAnsi="Calibri" w:cs="Calibri"/>
          <w:sz w:val="24"/>
          <w:szCs w:val="24"/>
        </w:rPr>
        <w:t xml:space="preserve">Disability in the Novel </w:t>
      </w:r>
      <w:proofErr w:type="spellStart"/>
      <w:r w:rsidRPr="00274099">
        <w:rPr>
          <w:rFonts w:ascii="Calibri" w:eastAsia="Calibri" w:hAnsi="Calibri" w:cs="Calibri"/>
          <w:sz w:val="24"/>
          <w:szCs w:val="24"/>
        </w:rPr>
        <w:t>Enmakaje</w:t>
      </w:r>
      <w:proofErr w:type="spellEnd"/>
      <w:r w:rsidRPr="00274099">
        <w:rPr>
          <w:rFonts w:ascii="Calibri" w:eastAsia="Calibri" w:hAnsi="Calibri" w:cs="Calibri"/>
          <w:sz w:val="24"/>
          <w:szCs w:val="24"/>
        </w:rPr>
        <w:t xml:space="preserve">                                                             </w:t>
      </w:r>
      <w:r w:rsidRPr="00274099">
        <w:rPr>
          <w:rFonts w:ascii="Calibri" w:eastAsia="Calibri" w:hAnsi="Calibri" w:cs="Calibri"/>
          <w:b/>
          <w:bCs/>
          <w:sz w:val="24"/>
          <w:szCs w:val="24"/>
        </w:rPr>
        <w:t>24</w:t>
      </w:r>
    </w:p>
    <w:p w14:paraId="36234550"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-Nandana R.</w:t>
      </w:r>
    </w:p>
    <w:p w14:paraId="0226E37C" w14:textId="77777777" w:rsidR="008866AF" w:rsidRPr="00274099" w:rsidRDefault="008866AF" w:rsidP="008866AF">
      <w:pPr>
        <w:spacing w:after="0" w:line="240" w:lineRule="auto"/>
        <w:ind w:left="720"/>
        <w:rPr>
          <w:rFonts w:ascii="Calibri" w:eastAsia="Calibri" w:hAnsi="Calibri" w:cs="Calibri"/>
          <w:sz w:val="24"/>
          <w:szCs w:val="24"/>
        </w:rPr>
      </w:pPr>
    </w:p>
    <w:p w14:paraId="28F1C239"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Mothering Beyond Sight: Shared Responsibilities </w:t>
      </w:r>
    </w:p>
    <w:p w14:paraId="5DB4C4B2"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 xml:space="preserve">and Multisensorial Caregiving </w:t>
      </w:r>
    </w:p>
    <w:p w14:paraId="7AEAD626" w14:textId="77777777" w:rsidR="008866AF" w:rsidRPr="00274099" w:rsidRDefault="008866AF" w:rsidP="008866AF">
      <w:pPr>
        <w:spacing w:after="0" w:line="240" w:lineRule="auto"/>
        <w:ind w:left="720"/>
        <w:rPr>
          <w:rFonts w:ascii="Calibri" w:eastAsia="Calibri" w:hAnsi="Calibri" w:cs="Calibri"/>
          <w:b/>
          <w:bCs/>
          <w:sz w:val="24"/>
          <w:szCs w:val="24"/>
        </w:rPr>
      </w:pPr>
      <w:r w:rsidRPr="00274099">
        <w:rPr>
          <w:rFonts w:ascii="Calibri" w:eastAsia="Calibri" w:hAnsi="Calibri" w:cs="Calibri"/>
          <w:sz w:val="24"/>
          <w:szCs w:val="24"/>
        </w:rPr>
        <w:t xml:space="preserve">Practices Among Visually Impaired Women                                          </w:t>
      </w:r>
      <w:r w:rsidRPr="00274099">
        <w:rPr>
          <w:rFonts w:ascii="Calibri" w:eastAsia="Calibri" w:hAnsi="Calibri" w:cs="Calibri"/>
          <w:b/>
          <w:bCs/>
          <w:sz w:val="24"/>
          <w:szCs w:val="24"/>
        </w:rPr>
        <w:t>25</w:t>
      </w:r>
    </w:p>
    <w:p w14:paraId="428FDAE4" w14:textId="6FD750BB" w:rsidR="008866AF" w:rsidRPr="00725E10" w:rsidRDefault="008866AF" w:rsidP="00725E10">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-Surbhi Nagpal</w:t>
      </w:r>
    </w:p>
    <w:p w14:paraId="510400F3" w14:textId="77777777" w:rsidR="008866AF" w:rsidRPr="00274099" w:rsidRDefault="008866AF" w:rsidP="008866AF">
      <w:pPr>
        <w:spacing w:after="0" w:line="240" w:lineRule="auto"/>
        <w:rPr>
          <w:rFonts w:ascii="Calibri" w:eastAsia="Calibri" w:hAnsi="Calibri" w:cs="Calibri"/>
          <w:b/>
          <w:bCs/>
          <w:sz w:val="24"/>
          <w:szCs w:val="24"/>
        </w:rPr>
      </w:pPr>
    </w:p>
    <w:p w14:paraId="23CD22D0" w14:textId="5C48B832"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8A: Inclusive Education: Lived Experiences, Practices, and Futures</w:t>
      </w:r>
    </w:p>
    <w:p w14:paraId="0FBD5211" w14:textId="77777777" w:rsidR="008866AF" w:rsidRPr="00274099" w:rsidRDefault="008866AF" w:rsidP="008866AF">
      <w:pPr>
        <w:spacing w:after="0" w:line="240" w:lineRule="auto"/>
        <w:rPr>
          <w:rFonts w:ascii="Calibri" w:eastAsia="Calibri" w:hAnsi="Calibri" w:cs="Calibri"/>
          <w:sz w:val="24"/>
          <w:szCs w:val="24"/>
        </w:rPr>
      </w:pPr>
    </w:p>
    <w:p w14:paraId="6D021B1B"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Becoming, Belonging, and Futures: Lived Experiences of            </w:t>
      </w:r>
    </w:p>
    <w:p w14:paraId="04D6DF36"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Disability and Inclusive Education -                                                         </w:t>
      </w:r>
      <w:r w:rsidRPr="00274099">
        <w:rPr>
          <w:rFonts w:ascii="Calibri" w:eastAsia="Calibri" w:hAnsi="Calibri" w:cs="Calibri"/>
          <w:b/>
          <w:bCs/>
          <w:sz w:val="28"/>
          <w:szCs w:val="28"/>
        </w:rPr>
        <w:t>26</w:t>
      </w:r>
    </w:p>
    <w:p w14:paraId="423DCC98"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 xml:space="preserve">An Autoethnographic Inquiry     </w:t>
      </w:r>
    </w:p>
    <w:p w14:paraId="57DEC2FA"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 xml:space="preserve">-Titiksha Pradip </w:t>
      </w:r>
      <w:proofErr w:type="spellStart"/>
      <w:r w:rsidRPr="00274099">
        <w:rPr>
          <w:rFonts w:ascii="Calibri" w:eastAsia="Calibri" w:hAnsi="Calibri" w:cs="Calibri"/>
          <w:i/>
          <w:iCs/>
          <w:sz w:val="24"/>
          <w:szCs w:val="24"/>
        </w:rPr>
        <w:t>Rangari</w:t>
      </w:r>
      <w:proofErr w:type="spellEnd"/>
    </w:p>
    <w:p w14:paraId="2636BE04" w14:textId="67D27599" w:rsidR="008866AF" w:rsidRPr="00274099" w:rsidRDefault="008866AF" w:rsidP="008866AF">
      <w:pPr>
        <w:spacing w:after="0" w:line="240" w:lineRule="auto"/>
        <w:ind w:left="720"/>
        <w:rPr>
          <w:rFonts w:ascii="Calibri" w:eastAsia="Calibri" w:hAnsi="Calibri" w:cs="Calibri"/>
          <w:sz w:val="24"/>
          <w:szCs w:val="24"/>
        </w:rPr>
      </w:pPr>
    </w:p>
    <w:p w14:paraId="1D2464EA"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Precarious Futures: Lived Experiences of </w:t>
      </w:r>
    </w:p>
    <w:p w14:paraId="18402719"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Disability in Indian Higher Education                                                     </w:t>
      </w:r>
      <w:r w:rsidRPr="00274099">
        <w:rPr>
          <w:rFonts w:ascii="Calibri" w:eastAsia="Calibri" w:hAnsi="Calibri" w:cs="Calibri"/>
          <w:b/>
          <w:bCs/>
          <w:sz w:val="28"/>
          <w:szCs w:val="28"/>
        </w:rPr>
        <w:t>27</w:t>
      </w:r>
    </w:p>
    <w:p w14:paraId="7028A57F"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w:t>
      </w:r>
      <w:proofErr w:type="spellStart"/>
      <w:r w:rsidRPr="00274099">
        <w:rPr>
          <w:rFonts w:ascii="Calibri" w:eastAsia="Calibri" w:hAnsi="Calibri" w:cs="Calibri"/>
          <w:i/>
          <w:iCs/>
          <w:sz w:val="24"/>
          <w:szCs w:val="24"/>
        </w:rPr>
        <w:t>Shivpal</w:t>
      </w:r>
      <w:proofErr w:type="spellEnd"/>
      <w:r w:rsidRPr="00274099">
        <w:rPr>
          <w:rFonts w:ascii="Calibri" w:eastAsia="Calibri" w:hAnsi="Calibri" w:cs="Calibri"/>
          <w:i/>
          <w:iCs/>
          <w:sz w:val="24"/>
          <w:szCs w:val="24"/>
        </w:rPr>
        <w:t xml:space="preserve"> </w:t>
      </w:r>
      <w:proofErr w:type="spellStart"/>
      <w:r w:rsidRPr="00274099">
        <w:rPr>
          <w:rFonts w:ascii="Calibri" w:eastAsia="Calibri" w:hAnsi="Calibri" w:cs="Calibri"/>
          <w:i/>
          <w:iCs/>
          <w:sz w:val="24"/>
          <w:szCs w:val="24"/>
        </w:rPr>
        <w:t>Chawda</w:t>
      </w:r>
      <w:proofErr w:type="spellEnd"/>
    </w:p>
    <w:p w14:paraId="6261FAE9" w14:textId="77777777" w:rsidR="008866AF" w:rsidRPr="00274099" w:rsidRDefault="008866AF" w:rsidP="008866AF">
      <w:pPr>
        <w:spacing w:after="0" w:line="240" w:lineRule="auto"/>
        <w:rPr>
          <w:rFonts w:ascii="Calibri" w:eastAsia="Calibri" w:hAnsi="Calibri" w:cs="Calibri"/>
          <w:sz w:val="24"/>
          <w:szCs w:val="24"/>
        </w:rPr>
      </w:pPr>
    </w:p>
    <w:p w14:paraId="63E3AD8F" w14:textId="77777777" w:rsidR="008866AF" w:rsidRPr="00274099" w:rsidRDefault="008866AF" w:rsidP="008866AF">
      <w:pPr>
        <w:spacing w:after="0" w:line="240" w:lineRule="auto"/>
        <w:rPr>
          <w:rFonts w:ascii="Calibri" w:eastAsia="Calibri" w:hAnsi="Calibri" w:cs="Calibri"/>
          <w:b/>
          <w:bCs/>
          <w:sz w:val="24"/>
          <w:szCs w:val="24"/>
        </w:rPr>
      </w:pPr>
      <w:r w:rsidRPr="00274099">
        <w:rPr>
          <w:rFonts w:ascii="Calibri" w:eastAsia="Calibri" w:hAnsi="Calibri" w:cs="Calibri"/>
          <w:b/>
          <w:bCs/>
          <w:sz w:val="24"/>
          <w:szCs w:val="24"/>
        </w:rPr>
        <w:t>Panel 8B: Disability, Embodiment, Gender</w:t>
      </w:r>
    </w:p>
    <w:p w14:paraId="30863CE3" w14:textId="77777777" w:rsidR="008866AF" w:rsidRPr="00274099" w:rsidRDefault="008866AF" w:rsidP="008866AF">
      <w:pPr>
        <w:spacing w:after="0" w:line="240" w:lineRule="auto"/>
        <w:rPr>
          <w:rFonts w:ascii="Calibri" w:eastAsia="Calibri" w:hAnsi="Calibri" w:cs="Calibri"/>
          <w:sz w:val="24"/>
          <w:szCs w:val="24"/>
        </w:rPr>
      </w:pPr>
    </w:p>
    <w:p w14:paraId="28DAA68F"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Retelling Fairy Tales, Reimagining Disability Futures: </w:t>
      </w:r>
    </w:p>
    <w:p w14:paraId="67348A79"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 xml:space="preserve">A Study of Classic Fairy Tales Rewritten from the </w:t>
      </w:r>
    </w:p>
    <w:p w14:paraId="65B12B95"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Perspective of Disabled Women from India                                          </w:t>
      </w:r>
      <w:r w:rsidRPr="00274099">
        <w:rPr>
          <w:rFonts w:ascii="Calibri" w:eastAsia="Calibri" w:hAnsi="Calibri" w:cs="Calibri"/>
          <w:b/>
          <w:bCs/>
          <w:sz w:val="28"/>
          <w:szCs w:val="28"/>
        </w:rPr>
        <w:t>28</w:t>
      </w:r>
    </w:p>
    <w:p w14:paraId="58E1D4FC" w14:textId="4E30C974"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-Sum</w:t>
      </w:r>
      <w:r w:rsidR="0028345C">
        <w:rPr>
          <w:rFonts w:ascii="Calibri" w:eastAsia="Calibri" w:hAnsi="Calibri" w:cs="Calibri"/>
          <w:i/>
          <w:iCs/>
          <w:sz w:val="24"/>
          <w:szCs w:val="24"/>
        </w:rPr>
        <w:t>a</w:t>
      </w:r>
      <w:r w:rsidRPr="00274099">
        <w:rPr>
          <w:rFonts w:ascii="Calibri" w:eastAsia="Calibri" w:hAnsi="Calibri" w:cs="Calibri"/>
          <w:i/>
          <w:iCs/>
          <w:sz w:val="24"/>
          <w:szCs w:val="24"/>
        </w:rPr>
        <w:t>dhura Roy, and Reshma Jose</w:t>
      </w:r>
    </w:p>
    <w:p w14:paraId="6AB4A9ED" w14:textId="77777777" w:rsidR="008866AF" w:rsidRDefault="008866AF" w:rsidP="008866AF">
      <w:pPr>
        <w:spacing w:after="0" w:line="240" w:lineRule="auto"/>
        <w:ind w:left="720"/>
        <w:rPr>
          <w:rFonts w:ascii="Calibri" w:eastAsia="Calibri" w:hAnsi="Calibri" w:cs="Calibri"/>
          <w:sz w:val="24"/>
          <w:szCs w:val="24"/>
        </w:rPr>
      </w:pPr>
    </w:p>
    <w:p w14:paraId="7B925DFE" w14:textId="77777777" w:rsidR="00344C97" w:rsidRPr="00274099" w:rsidRDefault="00344C97" w:rsidP="008866AF">
      <w:pPr>
        <w:spacing w:after="0" w:line="240" w:lineRule="auto"/>
        <w:ind w:left="720"/>
        <w:rPr>
          <w:rFonts w:ascii="Calibri" w:eastAsia="Calibri" w:hAnsi="Calibri" w:cs="Calibri"/>
          <w:sz w:val="24"/>
          <w:szCs w:val="24"/>
        </w:rPr>
      </w:pPr>
    </w:p>
    <w:p w14:paraId="2FE7D5E5"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The Politics of Re-embodiment - Understanding </w:t>
      </w:r>
    </w:p>
    <w:p w14:paraId="6C058223" w14:textId="77777777" w:rsidR="008866AF" w:rsidRPr="00274099" w:rsidRDefault="008866AF" w:rsidP="008866AF">
      <w:pPr>
        <w:spacing w:after="0" w:line="240" w:lineRule="auto"/>
        <w:ind w:left="720"/>
        <w:rPr>
          <w:rFonts w:ascii="Calibri" w:eastAsia="Calibri" w:hAnsi="Calibri" w:cs="Calibri"/>
          <w:sz w:val="24"/>
          <w:szCs w:val="24"/>
        </w:rPr>
      </w:pPr>
      <w:r w:rsidRPr="00274099">
        <w:rPr>
          <w:rFonts w:ascii="Calibri" w:eastAsia="Calibri" w:hAnsi="Calibri" w:cs="Calibri"/>
          <w:sz w:val="24"/>
          <w:szCs w:val="24"/>
        </w:rPr>
        <w:t xml:space="preserve">Disability, Corporeality, and Hegemonic Masculinity </w:t>
      </w:r>
    </w:p>
    <w:p w14:paraId="2A5E71A7"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in Abhishek Anicca's The Grammar of My Body (2023)                       </w:t>
      </w:r>
      <w:r w:rsidRPr="00274099">
        <w:rPr>
          <w:rFonts w:ascii="Calibri" w:eastAsia="Calibri" w:hAnsi="Calibri" w:cs="Calibri"/>
          <w:b/>
          <w:bCs/>
          <w:sz w:val="28"/>
          <w:szCs w:val="28"/>
        </w:rPr>
        <w:t>29</w:t>
      </w:r>
    </w:p>
    <w:p w14:paraId="043ACDBE"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-Barbie Kar</w:t>
      </w:r>
    </w:p>
    <w:p w14:paraId="5EF39CBB" w14:textId="77777777" w:rsidR="008866AF" w:rsidRPr="00274099" w:rsidRDefault="008866AF" w:rsidP="008866AF">
      <w:pPr>
        <w:spacing w:after="0" w:line="240" w:lineRule="auto"/>
        <w:ind w:left="720"/>
        <w:rPr>
          <w:rFonts w:ascii="Calibri" w:eastAsia="Calibri" w:hAnsi="Calibri" w:cs="Calibri"/>
          <w:sz w:val="24"/>
          <w:szCs w:val="24"/>
        </w:rPr>
      </w:pPr>
    </w:p>
    <w:p w14:paraId="42D0A04E" w14:textId="77777777" w:rsidR="008866AF" w:rsidRPr="00274099" w:rsidRDefault="008866AF" w:rsidP="008866AF">
      <w:pPr>
        <w:numPr>
          <w:ilvl w:val="0"/>
          <w:numId w:val="20"/>
        </w:numPr>
        <w:spacing w:after="0" w:line="240" w:lineRule="auto"/>
        <w:rPr>
          <w:rFonts w:ascii="Calibri" w:eastAsia="Calibri" w:hAnsi="Calibri" w:cs="Calibri"/>
          <w:sz w:val="24"/>
          <w:szCs w:val="24"/>
        </w:rPr>
      </w:pPr>
      <w:r w:rsidRPr="00274099">
        <w:rPr>
          <w:rFonts w:ascii="Calibri" w:eastAsia="Calibri" w:hAnsi="Calibri" w:cs="Calibri"/>
          <w:sz w:val="24"/>
          <w:szCs w:val="24"/>
        </w:rPr>
        <w:t xml:space="preserve">Echoes of Unfulfilled Desires: Phantoms of </w:t>
      </w:r>
    </w:p>
    <w:p w14:paraId="58A2992A" w14:textId="77777777" w:rsidR="008866AF" w:rsidRPr="00274099" w:rsidRDefault="008866AF" w:rsidP="008866AF">
      <w:pPr>
        <w:spacing w:after="0" w:line="240" w:lineRule="auto"/>
        <w:ind w:left="720"/>
        <w:rPr>
          <w:rFonts w:ascii="Calibri" w:eastAsia="Calibri" w:hAnsi="Calibri" w:cs="Calibri"/>
          <w:b/>
          <w:bCs/>
          <w:sz w:val="28"/>
          <w:szCs w:val="28"/>
        </w:rPr>
      </w:pPr>
      <w:r w:rsidRPr="00274099">
        <w:rPr>
          <w:rFonts w:ascii="Calibri" w:eastAsia="Calibri" w:hAnsi="Calibri" w:cs="Calibri"/>
          <w:sz w:val="24"/>
          <w:szCs w:val="24"/>
        </w:rPr>
        <w:t xml:space="preserve">Motherhood in Still Born                                                                           </w:t>
      </w:r>
      <w:r w:rsidRPr="00274099">
        <w:rPr>
          <w:rFonts w:ascii="Calibri" w:eastAsia="Calibri" w:hAnsi="Calibri" w:cs="Calibri"/>
          <w:b/>
          <w:bCs/>
          <w:sz w:val="28"/>
          <w:szCs w:val="28"/>
        </w:rPr>
        <w:t>30</w:t>
      </w:r>
    </w:p>
    <w:p w14:paraId="70DACF60" w14:textId="77777777" w:rsidR="008866AF" w:rsidRPr="00274099" w:rsidRDefault="008866AF" w:rsidP="008866AF">
      <w:pPr>
        <w:spacing w:after="0" w:line="240" w:lineRule="auto"/>
        <w:ind w:left="720"/>
        <w:rPr>
          <w:rFonts w:ascii="Calibri" w:eastAsia="Calibri" w:hAnsi="Calibri" w:cs="Calibri"/>
          <w:i/>
          <w:iCs/>
          <w:sz w:val="24"/>
          <w:szCs w:val="24"/>
        </w:rPr>
      </w:pPr>
      <w:r w:rsidRPr="00274099">
        <w:rPr>
          <w:rFonts w:ascii="Calibri" w:eastAsia="Calibri" w:hAnsi="Calibri" w:cs="Calibri"/>
          <w:i/>
          <w:iCs/>
          <w:sz w:val="24"/>
          <w:szCs w:val="24"/>
        </w:rPr>
        <w:t>-Riya Chawla</w:t>
      </w:r>
    </w:p>
    <w:p w14:paraId="15527E07" w14:textId="77777777" w:rsidR="008866AF" w:rsidRDefault="008866AF" w:rsidP="008866AF">
      <w:pPr>
        <w:spacing w:after="0" w:line="240" w:lineRule="auto"/>
        <w:jc w:val="center"/>
        <w:rPr>
          <w:rFonts w:ascii="Calibri" w:eastAsia="Calibri" w:hAnsi="Calibri" w:cs="Calibri"/>
          <w:sz w:val="28"/>
          <w:szCs w:val="28"/>
        </w:rPr>
      </w:pPr>
      <w:r>
        <w:br w:type="page"/>
      </w:r>
    </w:p>
    <w:p w14:paraId="23201F6B" w14:textId="77777777" w:rsidR="008866AF" w:rsidRDefault="008866AF" w:rsidP="008866AF">
      <w:pPr>
        <w:spacing w:after="0" w:line="240" w:lineRule="auto"/>
        <w:jc w:val="center"/>
        <w:rPr>
          <w:rFonts w:ascii="Calibri" w:eastAsia="Calibri" w:hAnsi="Calibri" w:cs="Calibri"/>
          <w:sz w:val="28"/>
          <w:szCs w:val="28"/>
        </w:rPr>
      </w:pPr>
    </w:p>
    <w:p w14:paraId="22620CB0" w14:textId="77777777" w:rsidR="008866AF" w:rsidRDefault="008866AF" w:rsidP="008866AF">
      <w:pPr>
        <w:spacing w:after="0" w:line="240" w:lineRule="auto"/>
        <w:jc w:val="center"/>
        <w:rPr>
          <w:rFonts w:ascii="Calibri" w:eastAsia="Calibri" w:hAnsi="Calibri" w:cs="Calibri"/>
          <w:b/>
          <w:bCs/>
          <w:sz w:val="28"/>
          <w:szCs w:val="28"/>
        </w:rPr>
      </w:pPr>
    </w:p>
    <w:p w14:paraId="268D73FC" w14:textId="77777777" w:rsidR="008866AF" w:rsidRDefault="008866AF" w:rsidP="008866AF">
      <w:pPr>
        <w:spacing w:after="0" w:line="240" w:lineRule="auto"/>
        <w:jc w:val="center"/>
        <w:rPr>
          <w:rFonts w:ascii="Calibri" w:eastAsia="Calibri" w:hAnsi="Calibri" w:cs="Calibri"/>
          <w:b/>
          <w:bCs/>
          <w:sz w:val="28"/>
          <w:szCs w:val="28"/>
        </w:rPr>
      </w:pPr>
      <w:r>
        <w:rPr>
          <w:rFonts w:ascii="Calibri" w:eastAsia="Calibri" w:hAnsi="Calibri" w:cs="Calibri"/>
          <w:b/>
          <w:bCs/>
          <w:sz w:val="28"/>
          <w:szCs w:val="28"/>
        </w:rPr>
        <w:t>Abstracts</w:t>
      </w:r>
    </w:p>
    <w:p w14:paraId="1BA75F4B" w14:textId="77777777" w:rsidR="008866AF" w:rsidRDefault="008866AF" w:rsidP="008866AF">
      <w:pPr>
        <w:pStyle w:val="Heading1"/>
      </w:pPr>
      <w:r>
        <w:t>Panel 1: Care and Belonging</w:t>
      </w:r>
    </w:p>
    <w:p w14:paraId="7EFF846D" w14:textId="77777777" w:rsidR="008866AF" w:rsidRDefault="008866AF" w:rsidP="008866AF"/>
    <w:p w14:paraId="2B88550A" w14:textId="77777777" w:rsidR="008866AF" w:rsidRDefault="008866AF" w:rsidP="008866AF">
      <w:pPr>
        <w:spacing w:after="0" w:line="240" w:lineRule="auto"/>
        <w:jc w:val="both"/>
        <w:rPr>
          <w:rFonts w:ascii="Calibri" w:eastAsia="Calibri" w:hAnsi="Calibri" w:cs="Calibri"/>
          <w:b/>
          <w:bCs/>
          <w:i/>
          <w:iCs/>
          <w:sz w:val="24"/>
          <w:szCs w:val="24"/>
        </w:rPr>
      </w:pPr>
      <w:r>
        <w:rPr>
          <w:rFonts w:ascii="Calibri" w:eastAsia="Calibri" w:hAnsi="Calibri" w:cs="Calibri"/>
          <w:b/>
          <w:bCs/>
          <w:sz w:val="24"/>
          <w:szCs w:val="24"/>
        </w:rPr>
        <w:t xml:space="preserve">1. Care, Community, and Emotional </w:t>
      </w:r>
      <w:proofErr w:type="spellStart"/>
      <w:r>
        <w:rPr>
          <w:rFonts w:ascii="Calibri" w:eastAsia="Calibri" w:hAnsi="Calibri" w:cs="Calibri"/>
          <w:b/>
          <w:bCs/>
          <w:sz w:val="24"/>
          <w:szCs w:val="24"/>
        </w:rPr>
        <w:t>Labour</w:t>
      </w:r>
      <w:proofErr w:type="spellEnd"/>
      <w:r>
        <w:rPr>
          <w:rFonts w:ascii="Calibri" w:eastAsia="Calibri" w:hAnsi="Calibri" w:cs="Calibri"/>
          <w:b/>
          <w:bCs/>
          <w:sz w:val="24"/>
          <w:szCs w:val="24"/>
        </w:rPr>
        <w:t xml:space="preserve"> in Sarmistha Pritam’s </w:t>
      </w:r>
      <w:r>
        <w:rPr>
          <w:rFonts w:ascii="Calibri" w:eastAsia="Calibri" w:hAnsi="Calibri" w:cs="Calibri"/>
          <w:b/>
          <w:bCs/>
          <w:i/>
          <w:iCs/>
          <w:sz w:val="24"/>
          <w:szCs w:val="24"/>
        </w:rPr>
        <w:t>Sun on My Face</w:t>
      </w:r>
    </w:p>
    <w:p w14:paraId="28333BD3" w14:textId="77777777" w:rsidR="008866AF" w:rsidRDefault="008866AF" w:rsidP="008866AF">
      <w:pPr>
        <w:spacing w:after="0" w:line="240" w:lineRule="auto"/>
        <w:jc w:val="center"/>
        <w:rPr>
          <w:rFonts w:ascii="Calibri" w:eastAsia="Calibri" w:hAnsi="Calibri" w:cs="Calibri"/>
          <w:b/>
          <w:bCs/>
          <w:sz w:val="24"/>
          <w:szCs w:val="24"/>
        </w:rPr>
      </w:pPr>
    </w:p>
    <w:p w14:paraId="508AC34D" w14:textId="77777777" w:rsidR="008866AF" w:rsidRPr="00242000" w:rsidRDefault="008866AF" w:rsidP="008866AF">
      <w:pPr>
        <w:spacing w:after="0" w:line="240" w:lineRule="auto"/>
        <w:rPr>
          <w:rFonts w:ascii="Calibri" w:eastAsia="Calibri" w:hAnsi="Calibri" w:cs="Calibri"/>
          <w:sz w:val="24"/>
          <w:szCs w:val="24"/>
        </w:rPr>
      </w:pPr>
      <w:proofErr w:type="spellStart"/>
      <w:r w:rsidRPr="00242000">
        <w:rPr>
          <w:rFonts w:ascii="Calibri" w:eastAsia="Calibri" w:hAnsi="Calibri" w:cs="Calibri"/>
          <w:b/>
          <w:bCs/>
          <w:sz w:val="24"/>
          <w:szCs w:val="24"/>
        </w:rPr>
        <w:t>Tuhisha</w:t>
      </w:r>
      <w:proofErr w:type="spellEnd"/>
      <w:r w:rsidRPr="00242000">
        <w:rPr>
          <w:rFonts w:ascii="Calibri" w:eastAsia="Calibri" w:hAnsi="Calibri" w:cs="Calibri"/>
          <w:b/>
          <w:bCs/>
          <w:sz w:val="24"/>
          <w:szCs w:val="24"/>
        </w:rPr>
        <w:t xml:space="preserve"> Ghosh, </w:t>
      </w:r>
      <w:r w:rsidRPr="00242000">
        <w:rPr>
          <w:rFonts w:ascii="Calibri" w:eastAsia="Calibri" w:hAnsi="Calibri" w:cs="Calibri"/>
          <w:sz w:val="24"/>
          <w:szCs w:val="24"/>
        </w:rPr>
        <w:t xml:space="preserve">Research Scholar, Department of English, The Assam Royal Global University, Guwahati. Email: </w:t>
      </w:r>
      <w:hyperlink r:id="rId7">
        <w:r w:rsidRPr="00242000">
          <w:rPr>
            <w:rFonts w:ascii="Calibri" w:eastAsia="Calibri" w:hAnsi="Calibri" w:cs="Calibri"/>
            <w:color w:val="0000FF"/>
            <w:sz w:val="24"/>
            <w:szCs w:val="24"/>
            <w:u w:val="single"/>
          </w:rPr>
          <w:t>gtuhisha@gmail.com</w:t>
        </w:r>
      </w:hyperlink>
      <w:r w:rsidRPr="00242000">
        <w:rPr>
          <w:rFonts w:ascii="Calibri" w:eastAsia="Calibri" w:hAnsi="Calibri" w:cs="Calibri"/>
          <w:b/>
          <w:bCs/>
          <w:sz w:val="24"/>
          <w:szCs w:val="24"/>
        </w:rPr>
        <w:t xml:space="preserve"> </w:t>
      </w:r>
    </w:p>
    <w:p w14:paraId="76733CE8" w14:textId="77777777" w:rsidR="008866AF" w:rsidRPr="00242000" w:rsidRDefault="008866AF" w:rsidP="008866AF">
      <w:pPr>
        <w:spacing w:after="0" w:line="240" w:lineRule="auto"/>
        <w:rPr>
          <w:rFonts w:ascii="Calibri" w:eastAsia="Calibri" w:hAnsi="Calibri" w:cs="Calibri"/>
          <w:b/>
          <w:bCs/>
          <w:sz w:val="24"/>
          <w:szCs w:val="24"/>
        </w:rPr>
      </w:pPr>
      <w:bookmarkStart w:id="0" w:name="_fnn1ubcidfnx" w:colFirst="0" w:colLast="0"/>
      <w:bookmarkEnd w:id="0"/>
    </w:p>
    <w:p w14:paraId="3DF48B9D" w14:textId="77777777" w:rsidR="008866AF" w:rsidRPr="00242000" w:rsidRDefault="008866AF" w:rsidP="008866AF">
      <w:pPr>
        <w:spacing w:after="0" w:line="240" w:lineRule="auto"/>
        <w:rPr>
          <w:rFonts w:ascii="Calibri" w:eastAsia="Calibri" w:hAnsi="Calibri" w:cs="Calibri"/>
          <w:sz w:val="24"/>
          <w:szCs w:val="24"/>
        </w:rPr>
      </w:pPr>
      <w:r w:rsidRPr="00242000">
        <w:rPr>
          <w:rFonts w:ascii="Calibri" w:eastAsia="Calibri" w:hAnsi="Calibri" w:cs="Calibri"/>
          <w:b/>
          <w:bCs/>
          <w:sz w:val="24"/>
          <w:szCs w:val="24"/>
        </w:rPr>
        <w:t xml:space="preserve">Stuti Goswami, </w:t>
      </w:r>
      <w:r w:rsidRPr="00242000">
        <w:rPr>
          <w:rFonts w:ascii="Calibri" w:eastAsia="Calibri" w:hAnsi="Calibri" w:cs="Calibri"/>
          <w:sz w:val="24"/>
          <w:szCs w:val="24"/>
        </w:rPr>
        <w:t xml:space="preserve">Associate Professor, Department of English, The Assam Royal Global University, Guwahati. Email: </w:t>
      </w:r>
      <w:hyperlink r:id="rId8">
        <w:r w:rsidRPr="00242000">
          <w:rPr>
            <w:rFonts w:ascii="Calibri" w:eastAsia="Calibri" w:hAnsi="Calibri" w:cs="Calibri"/>
            <w:color w:val="0000FF"/>
            <w:sz w:val="24"/>
            <w:szCs w:val="24"/>
            <w:u w:val="single"/>
          </w:rPr>
          <w:t>sgoswami@rgu.ac.in</w:t>
        </w:r>
      </w:hyperlink>
    </w:p>
    <w:p w14:paraId="699CDF46" w14:textId="77777777" w:rsidR="008866AF" w:rsidRDefault="008866AF" w:rsidP="008866AF">
      <w:pPr>
        <w:spacing w:after="0" w:line="240" w:lineRule="auto"/>
        <w:rPr>
          <w:rFonts w:ascii="Calibri" w:eastAsia="Calibri" w:hAnsi="Calibri" w:cs="Calibri"/>
          <w:sz w:val="24"/>
          <w:szCs w:val="24"/>
        </w:rPr>
      </w:pPr>
    </w:p>
    <w:p w14:paraId="422E6715" w14:textId="77777777" w:rsidR="008866AF" w:rsidRPr="00E852B9" w:rsidRDefault="008866AF" w:rsidP="008866AF">
      <w:pPr>
        <w:jc w:val="both"/>
        <w:rPr>
          <w:sz w:val="24"/>
          <w:szCs w:val="24"/>
        </w:rPr>
      </w:pPr>
      <w:r w:rsidRPr="00E852B9">
        <w:rPr>
          <w:sz w:val="24"/>
          <w:szCs w:val="24"/>
        </w:rPr>
        <w:t xml:space="preserve">This paper examines care </w:t>
      </w:r>
      <w:proofErr w:type="spellStart"/>
      <w:r w:rsidRPr="00E852B9">
        <w:rPr>
          <w:sz w:val="24"/>
          <w:szCs w:val="24"/>
        </w:rPr>
        <w:t>labour</w:t>
      </w:r>
      <w:proofErr w:type="spellEnd"/>
      <w:r w:rsidRPr="00E852B9">
        <w:rPr>
          <w:sz w:val="24"/>
          <w:szCs w:val="24"/>
        </w:rPr>
        <w:t xml:space="preserve"> and invisible emotional work in disability life writing from India through a reading of Sarmistha Pritam’s Sun on My Face. First published in Assamese in the year 2011, Sun on my Face (2015) reveals how care operates as a reciprocal yet uneven process in which disabled women regulate emotions within familial and social space while negotiating their own vulnerability. Drawing on Sara Ahmed’s Affect theory, this paper argues that differently abled people not only receive care but also actively perform emotional work by managing others discomfort, pity, and expectations. It foregrounds the gendered dimensions of care, showing how disabled women are positioned simultaneously as care recipients and caregivers, producing a double burden of physical dependence and emotional responsibility. Pritam’s life narrative highlights how care takes place in ordinary spaces like home, school, and social settings. These moments reveal how disabled women are expected to remain patient, grateful, and emotionally strong, even when they face exclusion or misunderstanding. By focusing on lived experience, this paper suggests that disability life writing helps us rethink independence and recognize interdependence as a normal part of life.</w:t>
      </w:r>
    </w:p>
    <w:p w14:paraId="093564A1" w14:textId="77777777" w:rsidR="008866AF" w:rsidRPr="00E852B9" w:rsidRDefault="008866AF" w:rsidP="008866AF">
      <w:pPr>
        <w:rPr>
          <w:sz w:val="24"/>
          <w:szCs w:val="24"/>
        </w:rPr>
      </w:pPr>
      <w:r w:rsidRPr="00E852B9">
        <w:rPr>
          <w:b/>
          <w:bCs/>
          <w:sz w:val="24"/>
          <w:szCs w:val="24"/>
        </w:rPr>
        <w:t xml:space="preserve">Keywords: </w:t>
      </w:r>
      <w:r w:rsidRPr="00E852B9">
        <w:rPr>
          <w:sz w:val="24"/>
          <w:szCs w:val="24"/>
        </w:rPr>
        <w:t xml:space="preserve">disability, care, community, emotional </w:t>
      </w:r>
      <w:proofErr w:type="spellStart"/>
      <w:r w:rsidRPr="00E852B9">
        <w:rPr>
          <w:sz w:val="24"/>
          <w:szCs w:val="24"/>
        </w:rPr>
        <w:t>labour</w:t>
      </w:r>
      <w:proofErr w:type="spellEnd"/>
      <w:r w:rsidRPr="00E852B9">
        <w:rPr>
          <w:sz w:val="24"/>
          <w:szCs w:val="24"/>
        </w:rPr>
        <w:t>, interdependence, woman writer.</w:t>
      </w:r>
    </w:p>
    <w:p w14:paraId="6062195A" w14:textId="77777777" w:rsidR="008866AF" w:rsidRDefault="008866AF" w:rsidP="008866AF">
      <w:pPr>
        <w:rPr>
          <w:b/>
          <w:bCs/>
        </w:rPr>
      </w:pPr>
      <w:r>
        <w:br w:type="page"/>
      </w:r>
    </w:p>
    <w:p w14:paraId="2E73799F" w14:textId="77777777" w:rsidR="008866AF" w:rsidRDefault="008866AF" w:rsidP="008866AF">
      <w:pPr>
        <w:rPr>
          <w:b/>
          <w:bCs/>
        </w:rPr>
      </w:pPr>
      <w:r>
        <w:rPr>
          <w:b/>
          <w:bCs/>
        </w:rPr>
        <w:lastRenderedPageBreak/>
        <w:t xml:space="preserve">2. </w:t>
      </w:r>
      <w:r>
        <w:rPr>
          <w:rFonts w:ascii="Calibri" w:eastAsia="Calibri" w:hAnsi="Calibri" w:cs="Calibri"/>
          <w:b/>
          <w:bCs/>
          <w:sz w:val="24"/>
          <w:szCs w:val="24"/>
        </w:rPr>
        <w:t>The future of autism care in urban India: Of interdependence, personhood, and belonging</w:t>
      </w:r>
    </w:p>
    <w:p w14:paraId="1F0DA021" w14:textId="77777777" w:rsidR="008866AF" w:rsidRPr="00242000" w:rsidRDefault="008866AF" w:rsidP="008866AF">
      <w:pPr>
        <w:rPr>
          <w:rFonts w:ascii="Calibri" w:eastAsia="Calibri" w:hAnsi="Calibri" w:cs="Calibri"/>
          <w:sz w:val="24"/>
          <w:szCs w:val="24"/>
        </w:rPr>
      </w:pPr>
      <w:r w:rsidRPr="00242000">
        <w:rPr>
          <w:rFonts w:ascii="Calibri" w:eastAsia="Calibri" w:hAnsi="Calibri" w:cs="Calibri"/>
          <w:b/>
          <w:bCs/>
          <w:sz w:val="24"/>
          <w:szCs w:val="24"/>
        </w:rPr>
        <w:t xml:space="preserve">Shubha Ranganathan, </w:t>
      </w:r>
      <w:r w:rsidRPr="00242000">
        <w:rPr>
          <w:rFonts w:ascii="Calibri" w:eastAsia="Calibri" w:hAnsi="Calibri" w:cs="Calibri"/>
          <w:sz w:val="24"/>
          <w:szCs w:val="24"/>
        </w:rPr>
        <w:t xml:space="preserve">Associate Professor of Medical Anthropology, Disability Studies and Critical Psychology, Department of Liberal Arts, Indian Institute of Technology Hyderabad.  Email: </w:t>
      </w:r>
      <w:hyperlink r:id="rId9">
        <w:r w:rsidRPr="00242000">
          <w:rPr>
            <w:rFonts w:ascii="Calibri" w:eastAsia="Calibri" w:hAnsi="Calibri" w:cs="Calibri"/>
            <w:color w:val="0000FF"/>
            <w:sz w:val="24"/>
            <w:szCs w:val="24"/>
            <w:u w:val="single"/>
          </w:rPr>
          <w:t>shubha@la.iith.ac.in</w:t>
        </w:r>
      </w:hyperlink>
    </w:p>
    <w:p w14:paraId="68C4E3E2" w14:textId="77777777" w:rsidR="008866AF" w:rsidRPr="00242000" w:rsidRDefault="008866AF" w:rsidP="008866AF">
      <w:pPr>
        <w:rPr>
          <w:sz w:val="24"/>
          <w:szCs w:val="24"/>
        </w:rPr>
      </w:pPr>
      <w:proofErr w:type="spellStart"/>
      <w:r w:rsidRPr="00242000">
        <w:rPr>
          <w:rFonts w:ascii="Calibri" w:eastAsia="Calibri" w:hAnsi="Calibri" w:cs="Calibri"/>
          <w:b/>
          <w:bCs/>
          <w:sz w:val="24"/>
          <w:szCs w:val="24"/>
        </w:rPr>
        <w:t>Bindhulakshmi</w:t>
      </w:r>
      <w:proofErr w:type="spellEnd"/>
      <w:r w:rsidRPr="00242000">
        <w:rPr>
          <w:rFonts w:ascii="Calibri" w:eastAsia="Calibri" w:hAnsi="Calibri" w:cs="Calibri"/>
          <w:b/>
          <w:bCs/>
          <w:sz w:val="24"/>
          <w:szCs w:val="24"/>
        </w:rPr>
        <w:t xml:space="preserve"> Pattadath, </w:t>
      </w:r>
      <w:r w:rsidRPr="00242000">
        <w:rPr>
          <w:rFonts w:ascii="Calibri" w:eastAsia="Calibri" w:hAnsi="Calibri" w:cs="Calibri"/>
          <w:sz w:val="24"/>
          <w:szCs w:val="24"/>
        </w:rPr>
        <w:t xml:space="preserve">Independent Researcher. Email: </w:t>
      </w:r>
      <w:hyperlink r:id="rId10">
        <w:r w:rsidRPr="00242000">
          <w:rPr>
            <w:rFonts w:ascii="Calibri" w:eastAsia="Calibri" w:hAnsi="Calibri" w:cs="Calibri"/>
            <w:color w:val="0000FF"/>
            <w:sz w:val="24"/>
            <w:szCs w:val="24"/>
            <w:u w:val="single"/>
          </w:rPr>
          <w:t>bindhu.lakshmi@gmail.com</w:t>
        </w:r>
      </w:hyperlink>
    </w:p>
    <w:p w14:paraId="64674365" w14:textId="77777777" w:rsidR="008866AF" w:rsidRPr="00E852B9" w:rsidRDefault="008866AF" w:rsidP="008866AF">
      <w:pPr>
        <w:jc w:val="center"/>
        <w:rPr>
          <w:sz w:val="24"/>
          <w:szCs w:val="24"/>
        </w:rPr>
      </w:pPr>
    </w:p>
    <w:p w14:paraId="689161EA" w14:textId="77777777" w:rsidR="008866AF" w:rsidRPr="00242000" w:rsidRDefault="008866AF" w:rsidP="008866AF">
      <w:pPr>
        <w:jc w:val="both"/>
        <w:rPr>
          <w:rFonts w:ascii="Calibri" w:eastAsia="Calibri" w:hAnsi="Calibri" w:cs="Calibri"/>
          <w:b/>
          <w:bCs/>
          <w:sz w:val="24"/>
          <w:szCs w:val="24"/>
        </w:rPr>
      </w:pPr>
      <w:bookmarkStart w:id="1" w:name="_4d7886nu7atn" w:colFirst="0" w:colLast="0"/>
      <w:bookmarkEnd w:id="1"/>
      <w:r w:rsidRPr="00E852B9">
        <w:rPr>
          <w:sz w:val="24"/>
          <w:szCs w:val="24"/>
        </w:rPr>
        <w:t>What counts as effective ‘intervention’ in autism care? What aspects of autism care do they regard as ‘therapeutic’? And how do these ideas of therapy inform care relations in the context of autism? This paper reflects on some of these questions that emerge from conversations with parents of autistic adults with high support needs. These conversations were part of a project on families’ experiences with long-term care for autistic adult wards. We conducted fieldwork at various residential institutions across India. This was supplemented with in-depth interviews (both in person and online) with nine primary caregivers of autistic adults. Our conversations revolved around the perspectives of parents of autistic adults on caregiving, long-term arrangements for care, and their experiences with specific institutions. Additionally, some founders of residential institutions were also interviewed to understand their perspectives on care and their experiences with setting up long-term care facilities. In this paper, we focus on parents’ understandings about what happens within care institutions by way of ‘therapeutic activities’ or ‘autism interventions’  and how parents feel about these. Ultimately, we seek to reflect on the critiques of mainstream ideas of therapy and structured interventions as they emerge from parents’ narratives. The idea is to reflect on how we can reimagine care, as well as reimagine disabled futures, wherein different modalities of care and interactions foster more just and inclusive environments for all.</w:t>
      </w:r>
      <w:r>
        <w:br w:type="page"/>
      </w:r>
      <w:r>
        <w:rPr>
          <w:rFonts w:ascii="Calibri" w:eastAsia="Calibri" w:hAnsi="Calibri" w:cs="Calibri"/>
          <w:b/>
          <w:bCs/>
          <w:sz w:val="24"/>
          <w:szCs w:val="24"/>
        </w:rPr>
        <w:lastRenderedPageBreak/>
        <w:t xml:space="preserve">3. Relational Futures of Disability: Questioning the Problematization of Singlehood </w:t>
      </w:r>
    </w:p>
    <w:p w14:paraId="2C664140" w14:textId="77777777" w:rsidR="008866AF" w:rsidRDefault="008866AF" w:rsidP="008866AF">
      <w:pPr>
        <w:spacing w:after="0" w:line="240" w:lineRule="auto"/>
        <w:jc w:val="center"/>
        <w:rPr>
          <w:rFonts w:ascii="Calibri" w:eastAsia="Calibri" w:hAnsi="Calibri" w:cs="Calibri"/>
          <w:b/>
          <w:bCs/>
          <w:sz w:val="24"/>
          <w:szCs w:val="24"/>
        </w:rPr>
      </w:pPr>
    </w:p>
    <w:p w14:paraId="69E1F5A9"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Arathi Saleef, </w:t>
      </w:r>
      <w:r>
        <w:rPr>
          <w:rFonts w:ascii="Calibri" w:eastAsia="Calibri" w:hAnsi="Calibri" w:cs="Calibri"/>
          <w:sz w:val="24"/>
          <w:szCs w:val="24"/>
        </w:rPr>
        <w:t xml:space="preserve">Doctoral Research Scholar, Chinmaya Vishwa Vidyapeeth (Deemed to be University) Kerala. Email: </w:t>
      </w:r>
      <w:hyperlink r:id="rId11">
        <w:r>
          <w:rPr>
            <w:rFonts w:ascii="Arial" w:eastAsia="Arial" w:hAnsi="Arial" w:cs="Arial"/>
            <w:color w:val="1155CC"/>
            <w:sz w:val="24"/>
            <w:szCs w:val="24"/>
            <w:u w:val="single"/>
          </w:rPr>
          <w:t>arathi.cvv230224@cvv.ac.in</w:t>
        </w:r>
      </w:hyperlink>
      <w:r>
        <w:rPr>
          <w:rFonts w:ascii="Calibri" w:eastAsia="Calibri" w:hAnsi="Calibri" w:cs="Calibri"/>
          <w:sz w:val="24"/>
          <w:szCs w:val="24"/>
        </w:rPr>
        <w:t xml:space="preserve"> </w:t>
      </w:r>
    </w:p>
    <w:p w14:paraId="1C9A4431" w14:textId="77777777" w:rsidR="008866AF" w:rsidRDefault="008866AF" w:rsidP="008866AF">
      <w:pPr>
        <w:spacing w:after="0"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6536BF93" w14:textId="77777777" w:rsidR="008866AF" w:rsidRDefault="008866AF" w:rsidP="008866AF">
      <w:pPr>
        <w:spacing w:after="0" w:line="240" w:lineRule="auto"/>
      </w:pPr>
      <w:r>
        <w:rPr>
          <w:rFonts w:ascii="Calibri" w:eastAsia="Calibri" w:hAnsi="Calibri" w:cs="Calibri"/>
          <w:b/>
          <w:bCs/>
          <w:sz w:val="24"/>
          <w:szCs w:val="24"/>
        </w:rPr>
        <w:t xml:space="preserve">Dr. </w:t>
      </w:r>
      <w:proofErr w:type="spellStart"/>
      <w:r>
        <w:rPr>
          <w:rFonts w:ascii="Calibri" w:eastAsia="Calibri" w:hAnsi="Calibri" w:cs="Calibri"/>
          <w:b/>
          <w:bCs/>
          <w:sz w:val="24"/>
          <w:szCs w:val="24"/>
        </w:rPr>
        <w:t>Raisun</w:t>
      </w:r>
      <w:proofErr w:type="spellEnd"/>
      <w:r>
        <w:rPr>
          <w:rFonts w:ascii="Calibri" w:eastAsia="Calibri" w:hAnsi="Calibri" w:cs="Calibri"/>
          <w:b/>
          <w:bCs/>
          <w:sz w:val="24"/>
          <w:szCs w:val="24"/>
        </w:rPr>
        <w:t xml:space="preserve"> Mathew, </w:t>
      </w:r>
      <w:r>
        <w:rPr>
          <w:rFonts w:ascii="Calibri" w:eastAsia="Calibri" w:hAnsi="Calibri" w:cs="Calibri"/>
          <w:sz w:val="24"/>
          <w:szCs w:val="24"/>
        </w:rPr>
        <w:t xml:space="preserve">Assistant Professor of English, Chinmaya Vishwa Vidyapeeth (Deemed to be University) Kerala. Email: </w:t>
      </w:r>
      <w:hyperlink r:id="rId12">
        <w:r>
          <w:rPr>
            <w:rFonts w:ascii="Calibri" w:eastAsia="Calibri" w:hAnsi="Calibri" w:cs="Calibri"/>
            <w:color w:val="1155CC"/>
            <w:sz w:val="24"/>
            <w:szCs w:val="24"/>
            <w:u w:val="single"/>
          </w:rPr>
          <w:t>raisun.mathew@cvv.ac.in</w:t>
        </w:r>
      </w:hyperlink>
    </w:p>
    <w:p w14:paraId="006057F4" w14:textId="77777777" w:rsidR="008866AF" w:rsidRDefault="008866AF" w:rsidP="008866AF">
      <w:pPr>
        <w:spacing w:after="0" w:line="240" w:lineRule="auto"/>
        <w:jc w:val="center"/>
      </w:pPr>
    </w:p>
    <w:p w14:paraId="0B1ACE30" w14:textId="77777777" w:rsidR="008866AF" w:rsidRDefault="008866AF" w:rsidP="008866AF">
      <w:pPr>
        <w:spacing w:after="0" w:line="240" w:lineRule="auto"/>
        <w:jc w:val="center"/>
      </w:pPr>
    </w:p>
    <w:p w14:paraId="1E64B0CD" w14:textId="77777777" w:rsidR="008866AF" w:rsidRPr="00E852B9" w:rsidRDefault="008866AF" w:rsidP="008866AF">
      <w:pPr>
        <w:jc w:val="both"/>
        <w:rPr>
          <w:sz w:val="24"/>
          <w:szCs w:val="24"/>
        </w:rPr>
      </w:pPr>
      <w:r w:rsidRPr="00E852B9">
        <w:rPr>
          <w:sz w:val="24"/>
          <w:szCs w:val="24"/>
        </w:rPr>
        <w:t>Disabled lives mostly appear problematized within cultural narratives, where disability is articulated through lived experiences, social institutions, facilities and normative approaches. At the core of this problematization lies the parameter of normativity which marks the origin of stigma and results in the marginalization of the disabled lives. Scholars of disability and stigma have consistently pointed out how social expectations shaping the disability concept attributed to the impaired individuals, reinforcing deficit-based identities and restricted futures. Among the many factors that can contribute to the formation of disabled subjectivities, relationships play a crucial role in both positively and negatively impacting disabled people.  However, in disability narratives and films, relationality is often limited to familiar frameworks such as familial bonds, romantic relationships or comradeship. These relationships, while presented as sources of care or support, frequently position disabled characters as dependent, vulnerable, or in need of correction and adjustment.</w:t>
      </w:r>
    </w:p>
    <w:p w14:paraId="17DF7485" w14:textId="77777777" w:rsidR="008866AF" w:rsidRPr="00E852B9" w:rsidRDefault="008866AF" w:rsidP="008866AF">
      <w:pPr>
        <w:jc w:val="both"/>
        <w:rPr>
          <w:sz w:val="24"/>
          <w:szCs w:val="24"/>
        </w:rPr>
      </w:pPr>
      <w:r w:rsidRPr="00E852B9">
        <w:rPr>
          <w:sz w:val="24"/>
          <w:szCs w:val="24"/>
        </w:rPr>
        <w:t>What remains significantly under-explored within these narratives is singlehood as a relational condition. Singlehood, when it appears in the lives of disabled characters, is commonly framed as a negative, temporary, or problematic state rather than as a legitimate or sustained way of living. The possibility of remaining single, outside romantic or familial resolution, is rarely imagined as a viable future for disabled individuals. This paper is concerned with how disability futures are imagined through particular kinds of relationships, and what remains unchanged or unimagined when singlehood is treated as a problem or a transitional condition. By examining selected film narratives, the paper seeks to open up a discussion on the need to re-think relational norms and expand disability futures beyond narrowly defined familial or romantic frameworks.</w:t>
      </w:r>
    </w:p>
    <w:p w14:paraId="7285C48E" w14:textId="77777777" w:rsidR="008866AF" w:rsidRDefault="008866AF" w:rsidP="008866AF">
      <w:pPr>
        <w:pStyle w:val="Heading1"/>
      </w:pPr>
      <w:r>
        <w:br w:type="page"/>
      </w:r>
    </w:p>
    <w:p w14:paraId="10D2608E" w14:textId="77777777" w:rsidR="008866AF" w:rsidRDefault="008866AF" w:rsidP="008866AF">
      <w:pPr>
        <w:pStyle w:val="Heading1"/>
      </w:pPr>
      <w:r>
        <w:lastRenderedPageBreak/>
        <w:t>Panel 2: Disability, Policy, and Practice in India</w:t>
      </w:r>
    </w:p>
    <w:p w14:paraId="71CEE519" w14:textId="77777777" w:rsidR="008866AF" w:rsidRDefault="008866AF" w:rsidP="008866AF">
      <w:pPr>
        <w:spacing w:after="0" w:line="240" w:lineRule="auto"/>
        <w:rPr>
          <w:rFonts w:ascii="Calibri" w:eastAsia="Calibri" w:hAnsi="Calibri" w:cs="Calibri"/>
          <w:b/>
          <w:bCs/>
          <w:sz w:val="24"/>
          <w:szCs w:val="24"/>
        </w:rPr>
      </w:pPr>
    </w:p>
    <w:p w14:paraId="2937F528" w14:textId="77777777" w:rsidR="008866AF" w:rsidRPr="00CC1088"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4. </w:t>
      </w:r>
      <w:r w:rsidRPr="00CC1088">
        <w:rPr>
          <w:rFonts w:ascii="Calibri" w:eastAsia="Calibri" w:hAnsi="Calibri" w:cs="Calibri"/>
          <w:b/>
          <w:bCs/>
          <w:sz w:val="24"/>
          <w:szCs w:val="24"/>
        </w:rPr>
        <w:t>From Legal Inclusion to Administrative Exclusion: Neurodivergent Persons and the Implementation of Disability Reservations in India</w:t>
      </w:r>
    </w:p>
    <w:p w14:paraId="62C4C9C9" w14:textId="77777777" w:rsidR="008866AF" w:rsidRDefault="008866AF" w:rsidP="008866AF">
      <w:pPr>
        <w:spacing w:after="0" w:line="240" w:lineRule="auto"/>
        <w:rPr>
          <w:rFonts w:ascii="Calibri" w:eastAsia="Calibri" w:hAnsi="Calibri" w:cs="Calibri"/>
          <w:b/>
          <w:bCs/>
          <w:sz w:val="24"/>
          <w:szCs w:val="24"/>
        </w:rPr>
      </w:pPr>
    </w:p>
    <w:p w14:paraId="327DFE16"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Irfan Rasool Najar, </w:t>
      </w:r>
      <w:r>
        <w:rPr>
          <w:rFonts w:ascii="Calibri" w:eastAsia="Calibri" w:hAnsi="Calibri" w:cs="Calibri"/>
          <w:sz w:val="24"/>
          <w:szCs w:val="24"/>
        </w:rPr>
        <w:t xml:space="preserve">Associate Professor, Christ Academy Institute of Law, Bengaluru. Email: </w:t>
      </w:r>
      <w:hyperlink r:id="rId13">
        <w:r>
          <w:rPr>
            <w:rFonts w:ascii="Calibri" w:eastAsia="Calibri" w:hAnsi="Calibri" w:cs="Calibri"/>
            <w:color w:val="1155CC"/>
            <w:sz w:val="24"/>
            <w:szCs w:val="24"/>
            <w:u w:val="single"/>
          </w:rPr>
          <w:t>irfanrn@calaw.in</w:t>
        </w:r>
      </w:hyperlink>
    </w:p>
    <w:p w14:paraId="26895235" w14:textId="77777777" w:rsidR="008866AF" w:rsidRDefault="008866AF" w:rsidP="008866AF">
      <w:pPr>
        <w:spacing w:after="0" w:line="240" w:lineRule="auto"/>
        <w:jc w:val="center"/>
        <w:rPr>
          <w:rFonts w:ascii="Calibri" w:eastAsia="Calibri" w:hAnsi="Calibri" w:cs="Calibri"/>
          <w:b/>
          <w:bCs/>
          <w:sz w:val="24"/>
          <w:szCs w:val="24"/>
        </w:rPr>
      </w:pPr>
    </w:p>
    <w:p w14:paraId="7D238847"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Sneha,</w:t>
      </w:r>
      <w:r>
        <w:rPr>
          <w:rFonts w:ascii="Calibri" w:eastAsia="Calibri" w:hAnsi="Calibri" w:cs="Calibri"/>
          <w:sz w:val="24"/>
          <w:szCs w:val="24"/>
        </w:rPr>
        <w:t xml:space="preserve"> Immigration Legal Associate, Immigration Law Firm, Canada</w:t>
      </w:r>
    </w:p>
    <w:p w14:paraId="57300181" w14:textId="77777777" w:rsidR="008866AF" w:rsidRDefault="008866AF" w:rsidP="008866AF">
      <w:pPr>
        <w:spacing w:after="0" w:line="240" w:lineRule="auto"/>
        <w:jc w:val="center"/>
        <w:rPr>
          <w:rFonts w:ascii="Calibri" w:eastAsia="Calibri" w:hAnsi="Calibri" w:cs="Calibri"/>
          <w:sz w:val="24"/>
          <w:szCs w:val="24"/>
        </w:rPr>
      </w:pPr>
    </w:p>
    <w:p w14:paraId="67B6997D" w14:textId="77777777" w:rsidR="008866AF" w:rsidRDefault="008866AF" w:rsidP="008866AF">
      <w:pPr>
        <w:jc w:val="both"/>
        <w:rPr>
          <w:sz w:val="24"/>
          <w:szCs w:val="24"/>
        </w:rPr>
      </w:pPr>
    </w:p>
    <w:p w14:paraId="632B3244" w14:textId="77777777" w:rsidR="008866AF" w:rsidRPr="00E852B9" w:rsidRDefault="008866AF" w:rsidP="008866AF">
      <w:pPr>
        <w:jc w:val="both"/>
        <w:rPr>
          <w:sz w:val="24"/>
          <w:szCs w:val="24"/>
        </w:rPr>
      </w:pPr>
      <w:r w:rsidRPr="00E852B9">
        <w:rPr>
          <w:sz w:val="24"/>
          <w:szCs w:val="24"/>
        </w:rPr>
        <w:t>The Rights of Persons with Disabilities Act, 2016 (</w:t>
      </w:r>
      <w:proofErr w:type="spellStart"/>
      <w:r w:rsidRPr="00E852B9">
        <w:rPr>
          <w:sz w:val="24"/>
          <w:szCs w:val="24"/>
        </w:rPr>
        <w:t>RPwD</w:t>
      </w:r>
      <w:proofErr w:type="spellEnd"/>
      <w:r w:rsidRPr="00E852B9">
        <w:rPr>
          <w:sz w:val="24"/>
          <w:szCs w:val="24"/>
        </w:rPr>
        <w:t xml:space="preserve"> Act) expanded disability from a narrow medical category to 21 specified disabilities, introduced 4% reservation in government employment and 5% reservation in higher education for persons with benchmark disabilities, and mandated inclusive education and social security measures. Yet, neurodivergent persons such as those with autism, specific learning disability, attention deficit hyperactivity disorder, and psychosocial disabilities remain structurally under-</w:t>
      </w:r>
      <w:proofErr w:type="spellStart"/>
      <w:r w:rsidRPr="00E852B9">
        <w:rPr>
          <w:sz w:val="24"/>
          <w:szCs w:val="24"/>
        </w:rPr>
        <w:t>recognised</w:t>
      </w:r>
      <w:proofErr w:type="spellEnd"/>
      <w:r w:rsidRPr="00E852B9">
        <w:rPr>
          <w:sz w:val="24"/>
          <w:szCs w:val="24"/>
        </w:rPr>
        <w:t xml:space="preserve"> in the governance of education, employment, and social protection. This paper examines “governance gaps” in the implementation of reservations and entitlements for neurodivergent citizens in India. It analyses three interlinked arenas: </w:t>
      </w:r>
    </w:p>
    <w:p w14:paraId="0B343D16" w14:textId="77777777" w:rsidR="008866AF" w:rsidRPr="00E852B9" w:rsidRDefault="008866AF" w:rsidP="008866AF">
      <w:pPr>
        <w:jc w:val="both"/>
        <w:rPr>
          <w:sz w:val="24"/>
          <w:szCs w:val="24"/>
        </w:rPr>
      </w:pPr>
      <w:r w:rsidRPr="00E852B9">
        <w:rPr>
          <w:sz w:val="24"/>
          <w:szCs w:val="24"/>
        </w:rPr>
        <w:t>(</w:t>
      </w:r>
      <w:proofErr w:type="spellStart"/>
      <w:r w:rsidRPr="00E852B9">
        <w:rPr>
          <w:sz w:val="24"/>
          <w:szCs w:val="24"/>
        </w:rPr>
        <w:t>i</w:t>
      </w:r>
      <w:proofErr w:type="spellEnd"/>
      <w:r w:rsidRPr="00E852B9">
        <w:rPr>
          <w:sz w:val="24"/>
          <w:szCs w:val="24"/>
        </w:rPr>
        <w:t xml:space="preserve">) the legal framework on reservations and benchmark disability, including executive instructions on identification of posts and certification; </w:t>
      </w:r>
    </w:p>
    <w:p w14:paraId="6E183B6C" w14:textId="77777777" w:rsidR="008866AF" w:rsidRPr="00E852B9" w:rsidRDefault="008866AF" w:rsidP="008866AF">
      <w:pPr>
        <w:jc w:val="both"/>
        <w:rPr>
          <w:sz w:val="24"/>
          <w:szCs w:val="24"/>
        </w:rPr>
      </w:pPr>
      <w:r w:rsidRPr="00E852B9">
        <w:rPr>
          <w:sz w:val="24"/>
          <w:szCs w:val="24"/>
        </w:rPr>
        <w:t xml:space="preserve">(ii) implementation challenges in education and public employment, including flawed certification systems, vertical–horizontal reservation conflicts, and institutional ableism; and </w:t>
      </w:r>
    </w:p>
    <w:p w14:paraId="32AC948C" w14:textId="77777777" w:rsidR="008866AF" w:rsidRPr="00E852B9" w:rsidRDefault="008866AF" w:rsidP="008866AF">
      <w:pPr>
        <w:jc w:val="both"/>
        <w:rPr>
          <w:sz w:val="24"/>
          <w:szCs w:val="24"/>
        </w:rPr>
      </w:pPr>
      <w:r w:rsidRPr="00E852B9">
        <w:rPr>
          <w:sz w:val="24"/>
          <w:szCs w:val="24"/>
        </w:rPr>
        <w:t xml:space="preserve">(iii) access to social security schemes such as health insurance, pensions, and rehabilitation </w:t>
      </w:r>
      <w:proofErr w:type="spellStart"/>
      <w:r w:rsidRPr="00E852B9">
        <w:rPr>
          <w:sz w:val="24"/>
          <w:szCs w:val="24"/>
        </w:rPr>
        <w:t>programmes</w:t>
      </w:r>
      <w:proofErr w:type="spellEnd"/>
      <w:r w:rsidRPr="00E852B9">
        <w:rPr>
          <w:sz w:val="24"/>
          <w:szCs w:val="24"/>
        </w:rPr>
        <w:t xml:space="preserve">, where neurodivergent persons face additional documentary and design barriers. </w:t>
      </w:r>
    </w:p>
    <w:p w14:paraId="21CB9182" w14:textId="77777777" w:rsidR="008866AF" w:rsidRDefault="008866AF" w:rsidP="008866AF">
      <w:pPr>
        <w:jc w:val="both"/>
      </w:pPr>
      <w:r w:rsidRPr="00E852B9">
        <w:rPr>
          <w:sz w:val="24"/>
          <w:szCs w:val="24"/>
        </w:rPr>
        <w:t>Using doctrinal analysis of statutes, policy documents, and key judgments, supplemented by secondary data and civil society reports, the paper argues that neurodivergent persons experience “reservations without recognition”: formally covered by law but practically excluded by certification practices, narrow job identification approaches, and scheme designs that presume visible or physical impairments. It concludes with governance reforms grounded in inclusive equality and functional assessment.</w:t>
      </w:r>
      <w:r>
        <w:br w:type="page"/>
      </w:r>
    </w:p>
    <w:p w14:paraId="1999E91E"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lastRenderedPageBreak/>
        <w:t>5.  Evidence on disability prevalence in India disaggregated by caste, gender, age and geography</w:t>
      </w:r>
    </w:p>
    <w:p w14:paraId="4090E2EA" w14:textId="77777777" w:rsidR="008866AF" w:rsidRDefault="008866AF" w:rsidP="008866AF">
      <w:pPr>
        <w:spacing w:after="0" w:line="240" w:lineRule="auto"/>
      </w:pPr>
    </w:p>
    <w:p w14:paraId="115DFBA2"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Sachu R Sunny,</w:t>
      </w:r>
      <w:r>
        <w:rPr>
          <w:rFonts w:ascii="Calibri" w:eastAsia="Calibri" w:hAnsi="Calibri" w:cs="Calibri"/>
          <w:sz w:val="24"/>
          <w:szCs w:val="24"/>
        </w:rPr>
        <w:t xml:space="preserve"> PhD Scholar of Economics, Centre for Development Studies. </w:t>
      </w:r>
    </w:p>
    <w:p w14:paraId="5D8B3A69" w14:textId="77777777" w:rsidR="008866AF" w:rsidRDefault="008866AF" w:rsidP="008866AF">
      <w:pPr>
        <w:spacing w:after="0" w:line="240" w:lineRule="auto"/>
        <w:jc w:val="center"/>
        <w:rPr>
          <w:rFonts w:ascii="Calibri" w:eastAsia="Calibri" w:hAnsi="Calibri" w:cs="Calibri"/>
          <w:sz w:val="24"/>
          <w:szCs w:val="24"/>
        </w:rPr>
      </w:pPr>
      <w:r>
        <w:rPr>
          <w:rFonts w:ascii="Calibri" w:eastAsia="Calibri" w:hAnsi="Calibri" w:cs="Calibri"/>
          <w:sz w:val="24"/>
          <w:szCs w:val="24"/>
        </w:rPr>
        <w:t xml:space="preserve">Email: </w:t>
      </w:r>
      <w:hyperlink r:id="rId14">
        <w:r>
          <w:rPr>
            <w:rFonts w:ascii="Calibri" w:eastAsia="Calibri" w:hAnsi="Calibri" w:cs="Calibri"/>
            <w:color w:val="1155CC"/>
            <w:sz w:val="24"/>
            <w:szCs w:val="24"/>
            <w:u w:val="single"/>
          </w:rPr>
          <w:t>sachursunny@gmail.com</w:t>
        </w:r>
      </w:hyperlink>
    </w:p>
    <w:p w14:paraId="414CAFB4" w14:textId="77777777" w:rsidR="008866AF" w:rsidRDefault="008866AF" w:rsidP="008866AF">
      <w:pPr>
        <w:spacing w:after="0" w:line="240" w:lineRule="auto"/>
        <w:rPr>
          <w:rFonts w:ascii="Calibri" w:eastAsia="Calibri" w:hAnsi="Calibri" w:cs="Calibri"/>
          <w:b/>
          <w:bCs/>
          <w:sz w:val="24"/>
          <w:szCs w:val="24"/>
        </w:rPr>
      </w:pPr>
    </w:p>
    <w:p w14:paraId="35FD52E6" w14:textId="77777777" w:rsidR="008866AF" w:rsidRPr="00E852B9" w:rsidRDefault="008866AF" w:rsidP="008866AF">
      <w:pPr>
        <w:jc w:val="both"/>
        <w:rPr>
          <w:sz w:val="24"/>
          <w:szCs w:val="24"/>
        </w:rPr>
      </w:pPr>
      <w:r w:rsidRPr="00E852B9">
        <w:rPr>
          <w:sz w:val="24"/>
          <w:szCs w:val="24"/>
        </w:rPr>
        <w:t>In a developing country like India, where the socioeconomic outcomes are influenced by the entrenched social hierarchies of the caste system and male dominance, generating systematic evidence on disability prevalence disaggregated by caste, gender, age and geography is imperative. There is a dearth of country-wide studies that capture the intersection of sub-group identities and disability prevalence. To calculate and compare disability prevalence among the Indian population by gender, age, caste and geographical location. Age-</w:t>
      </w:r>
      <w:proofErr w:type="spellStart"/>
      <w:r w:rsidRPr="00E852B9">
        <w:rPr>
          <w:sz w:val="24"/>
          <w:szCs w:val="24"/>
        </w:rPr>
        <w:t>standardised</w:t>
      </w:r>
      <w:proofErr w:type="spellEnd"/>
      <w:r w:rsidRPr="00E852B9">
        <w:rPr>
          <w:sz w:val="24"/>
          <w:szCs w:val="24"/>
        </w:rPr>
        <w:t xml:space="preserve"> disability prevalence is calculated by direct standardization technique using 2011 Indian Census data and applying the WHO World Standard Population as weights. Age-specific disability rates are used to compare age-wise sub-group differences.</w:t>
      </w:r>
    </w:p>
    <w:p w14:paraId="52621879" w14:textId="77777777" w:rsidR="008866AF" w:rsidRPr="00E852B9" w:rsidRDefault="008866AF" w:rsidP="008866AF">
      <w:pPr>
        <w:jc w:val="both"/>
        <w:rPr>
          <w:sz w:val="24"/>
          <w:szCs w:val="24"/>
        </w:rPr>
      </w:pPr>
      <w:r w:rsidRPr="00E852B9">
        <w:rPr>
          <w:sz w:val="24"/>
          <w:szCs w:val="24"/>
        </w:rPr>
        <w:t>The Indian population has a disability prevalence of 2385 per 100000 population. Males have a higher disability rate compared to females across all social groups and geographical locations. The disability prevalence in 14 states and union territories is above the national average. Among the social groups, Scheduled Caste (SC) has the highest disability rate, followed by Scheduled Tribe (ST) and non-SC/ST in both rural and urban areas. The highest disability rates are among the population above 80 years. ST population has a lower disability rate than SC and non-SC/ST groups till the age of 59 years, and it increases considerably in the older age groups.</w:t>
      </w:r>
    </w:p>
    <w:p w14:paraId="1851A869" w14:textId="77777777" w:rsidR="008866AF" w:rsidRPr="00E852B9" w:rsidRDefault="008866AF" w:rsidP="008866AF">
      <w:pPr>
        <w:jc w:val="both"/>
        <w:rPr>
          <w:sz w:val="24"/>
          <w:szCs w:val="24"/>
        </w:rPr>
      </w:pPr>
      <w:r w:rsidRPr="00E852B9">
        <w:rPr>
          <w:sz w:val="24"/>
          <w:szCs w:val="24"/>
        </w:rPr>
        <w:t>Identifying sub-group disparities in disability prevalence is pertinent for health promotion and the development of public health policies to address the inequalities within the disability community.</w:t>
      </w:r>
      <w:bookmarkStart w:id="2" w:name="_jtzikfgraosc" w:colFirst="0" w:colLast="0"/>
      <w:bookmarkEnd w:id="2"/>
      <w:r>
        <w:br w:type="page"/>
      </w:r>
    </w:p>
    <w:p w14:paraId="0FB67E71" w14:textId="77777777" w:rsidR="008866AF" w:rsidRDefault="008866AF" w:rsidP="008866AF">
      <w:pPr>
        <w:pStyle w:val="Heading1"/>
      </w:pPr>
      <w:bookmarkStart w:id="3" w:name="_hqgtu6b2wcs3" w:colFirst="0" w:colLast="0"/>
      <w:bookmarkEnd w:id="3"/>
      <w:r>
        <w:lastRenderedPageBreak/>
        <w:t>Panel 3: State Power and Disability</w:t>
      </w:r>
    </w:p>
    <w:p w14:paraId="671D74AA" w14:textId="77777777" w:rsidR="008866AF" w:rsidRDefault="008866AF" w:rsidP="008866AF">
      <w:pPr>
        <w:jc w:val="center"/>
      </w:pPr>
    </w:p>
    <w:p w14:paraId="70117FC3" w14:textId="77777777" w:rsidR="008866AF" w:rsidRDefault="008866AF" w:rsidP="008866AF">
      <w:pPr>
        <w:spacing w:after="0" w:line="240" w:lineRule="auto"/>
        <w:rPr>
          <w:b/>
          <w:bCs/>
        </w:rPr>
      </w:pPr>
      <w:r>
        <w:rPr>
          <w:rFonts w:ascii="Calibri" w:eastAsia="Calibri" w:hAnsi="Calibri" w:cs="Calibri"/>
          <w:b/>
          <w:bCs/>
          <w:sz w:val="24"/>
          <w:szCs w:val="24"/>
        </w:rPr>
        <w:t>6. Move Over Human Rights! Recovering Disability Futures for Half Encountered People</w:t>
      </w:r>
    </w:p>
    <w:p w14:paraId="6A5F4C28" w14:textId="77777777" w:rsidR="008866AF" w:rsidRDefault="008866AF" w:rsidP="008866AF">
      <w:pPr>
        <w:spacing w:after="0" w:line="240" w:lineRule="auto"/>
        <w:ind w:left="720"/>
        <w:jc w:val="center"/>
        <w:rPr>
          <w:rFonts w:ascii="Calibri" w:eastAsia="Calibri" w:hAnsi="Calibri" w:cs="Calibri"/>
          <w:b/>
          <w:bCs/>
          <w:sz w:val="24"/>
          <w:szCs w:val="24"/>
        </w:rPr>
      </w:pPr>
    </w:p>
    <w:p w14:paraId="64F97F28" w14:textId="77777777" w:rsidR="008866AF"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Sachendra</w:t>
      </w:r>
      <w:proofErr w:type="spellEnd"/>
      <w:r>
        <w:rPr>
          <w:rFonts w:ascii="Calibri" w:eastAsia="Calibri" w:hAnsi="Calibri" w:cs="Calibri"/>
          <w:b/>
          <w:bCs/>
          <w:sz w:val="24"/>
          <w:szCs w:val="24"/>
        </w:rPr>
        <w:t xml:space="preserve"> Pratap Yadav, </w:t>
      </w:r>
      <w:r>
        <w:rPr>
          <w:rFonts w:ascii="Calibri" w:eastAsia="Calibri" w:hAnsi="Calibri" w:cs="Calibri"/>
          <w:sz w:val="24"/>
          <w:szCs w:val="24"/>
        </w:rPr>
        <w:t xml:space="preserve">PhD Scholar, BITS Pilani Hyderabad. Email: </w:t>
      </w:r>
      <w:hyperlink r:id="rId15">
        <w:r>
          <w:rPr>
            <w:rFonts w:ascii="Calibri" w:eastAsia="Calibri" w:hAnsi="Calibri" w:cs="Calibri"/>
            <w:color w:val="1155CC"/>
            <w:sz w:val="24"/>
            <w:szCs w:val="24"/>
            <w:u w:val="single"/>
          </w:rPr>
          <w:t>p20240448@hyderabad.bits-pilani.ac.in</w:t>
        </w:r>
      </w:hyperlink>
    </w:p>
    <w:p w14:paraId="52901F8F" w14:textId="77777777" w:rsidR="008866AF" w:rsidRDefault="008866AF" w:rsidP="008866AF">
      <w:pPr>
        <w:spacing w:after="0" w:line="240" w:lineRule="auto"/>
        <w:jc w:val="center"/>
        <w:rPr>
          <w:rFonts w:ascii="Calibri" w:eastAsia="Calibri" w:hAnsi="Calibri" w:cs="Calibri"/>
          <w:b/>
          <w:bCs/>
          <w:sz w:val="24"/>
          <w:szCs w:val="24"/>
        </w:rPr>
      </w:pPr>
    </w:p>
    <w:p w14:paraId="7E179EB7"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Amit Upadhyay, </w:t>
      </w:r>
      <w:r>
        <w:rPr>
          <w:rFonts w:ascii="Calibri" w:eastAsia="Calibri" w:hAnsi="Calibri" w:cs="Calibri"/>
          <w:sz w:val="24"/>
          <w:szCs w:val="24"/>
        </w:rPr>
        <w:t xml:space="preserve">Assistant Professor, Work Integrated Learning Program (WILP), BITS Pilani Hyderabad Campus. </w:t>
      </w:r>
    </w:p>
    <w:p w14:paraId="6B30D6A7" w14:textId="77777777" w:rsidR="008866AF" w:rsidRDefault="008866AF" w:rsidP="008866AF">
      <w:pPr>
        <w:spacing w:after="0" w:line="240" w:lineRule="auto"/>
        <w:jc w:val="center"/>
        <w:rPr>
          <w:rFonts w:ascii="Calibri" w:eastAsia="Calibri" w:hAnsi="Calibri" w:cs="Calibri"/>
          <w:sz w:val="24"/>
          <w:szCs w:val="24"/>
        </w:rPr>
      </w:pPr>
    </w:p>
    <w:p w14:paraId="4BA7AE64" w14:textId="77777777" w:rsidR="008866AF"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Shilpaa</w:t>
      </w:r>
      <w:proofErr w:type="spellEnd"/>
      <w:r>
        <w:rPr>
          <w:rFonts w:ascii="Calibri" w:eastAsia="Calibri" w:hAnsi="Calibri" w:cs="Calibri"/>
          <w:b/>
          <w:bCs/>
          <w:sz w:val="24"/>
          <w:szCs w:val="24"/>
        </w:rPr>
        <w:t xml:space="preserve"> Anand, </w:t>
      </w:r>
      <w:r>
        <w:rPr>
          <w:rFonts w:ascii="Calibri" w:eastAsia="Calibri" w:hAnsi="Calibri" w:cs="Calibri"/>
          <w:sz w:val="24"/>
          <w:szCs w:val="24"/>
        </w:rPr>
        <w:t xml:space="preserve">Associate Professor, Head of Department of Humanities and Social Sciences, BITS-Pilani Hyderabad. Email: </w:t>
      </w:r>
      <w:hyperlink r:id="rId16">
        <w:r>
          <w:rPr>
            <w:rFonts w:ascii="Calibri" w:eastAsia="Calibri" w:hAnsi="Calibri" w:cs="Calibri"/>
            <w:color w:val="1155CC"/>
            <w:sz w:val="24"/>
            <w:szCs w:val="24"/>
            <w:u w:val="single"/>
          </w:rPr>
          <w:t>shilpaa.anand@hyderabad.bits-pilani.ac.in</w:t>
        </w:r>
      </w:hyperlink>
    </w:p>
    <w:p w14:paraId="7ADA178E" w14:textId="77777777" w:rsidR="008866AF" w:rsidRDefault="008866AF" w:rsidP="008866AF">
      <w:pPr>
        <w:spacing w:after="0" w:line="240" w:lineRule="auto"/>
        <w:ind w:left="720"/>
        <w:jc w:val="center"/>
        <w:rPr>
          <w:rFonts w:ascii="Calibri" w:eastAsia="Calibri" w:hAnsi="Calibri" w:cs="Calibri"/>
          <w:sz w:val="24"/>
          <w:szCs w:val="24"/>
        </w:rPr>
      </w:pPr>
    </w:p>
    <w:p w14:paraId="1BC68BA3" w14:textId="77777777" w:rsidR="008866AF" w:rsidRDefault="008866AF" w:rsidP="008866AF">
      <w:pPr>
        <w:jc w:val="both"/>
      </w:pPr>
    </w:p>
    <w:p w14:paraId="2AE7B92B" w14:textId="77777777" w:rsidR="008866AF" w:rsidRPr="00E852B9" w:rsidRDefault="008866AF" w:rsidP="008866AF">
      <w:pPr>
        <w:jc w:val="both"/>
        <w:rPr>
          <w:sz w:val="24"/>
          <w:szCs w:val="24"/>
        </w:rPr>
      </w:pPr>
      <w:r w:rsidRPr="00E852B9">
        <w:rPr>
          <w:sz w:val="24"/>
          <w:szCs w:val="24"/>
        </w:rPr>
        <w:t xml:space="preserve">Individuals described as the ‘half-encountered’ refer to those who have sustained  grievous bodily harm at the hands of law-enforcement agencies. In this context, we specifically focus on Operation </w:t>
      </w:r>
      <w:proofErr w:type="spellStart"/>
      <w:r w:rsidRPr="00E852B9">
        <w:rPr>
          <w:sz w:val="24"/>
          <w:szCs w:val="24"/>
        </w:rPr>
        <w:t>Langda</w:t>
      </w:r>
      <w:proofErr w:type="spellEnd"/>
      <w:r w:rsidRPr="00E852B9">
        <w:rPr>
          <w:sz w:val="24"/>
          <w:szCs w:val="24"/>
        </w:rPr>
        <w:t xml:space="preserve"> in Uttar Pradesh, where the police have been shooting to maim at least since 2010. The survivors of these encounters have historically sought  more visibility within the human rights discourse. However, given that the larger orientation of the human rights discourse is committed to the prevention of extrajudicial retributive violence such as these police excesses, the well-being of those who have been maimed, while implied, is not </w:t>
      </w:r>
      <w:proofErr w:type="spellStart"/>
      <w:r w:rsidRPr="00E852B9">
        <w:rPr>
          <w:sz w:val="24"/>
          <w:szCs w:val="24"/>
        </w:rPr>
        <w:t>centred</w:t>
      </w:r>
      <w:proofErr w:type="spellEnd"/>
      <w:r w:rsidRPr="00E852B9">
        <w:rPr>
          <w:sz w:val="24"/>
          <w:szCs w:val="24"/>
        </w:rPr>
        <w:t>.</w:t>
      </w:r>
    </w:p>
    <w:p w14:paraId="16B76F01" w14:textId="77777777" w:rsidR="008866AF" w:rsidRDefault="008866AF" w:rsidP="008866AF">
      <w:pPr>
        <w:jc w:val="both"/>
      </w:pPr>
      <w:r w:rsidRPr="00E852B9">
        <w:rPr>
          <w:sz w:val="24"/>
          <w:szCs w:val="24"/>
        </w:rPr>
        <w:t xml:space="preserve">Building on the emergent framework of debilitation (Puar 2015), in critical disability studies scholarship, we discuss Operation </w:t>
      </w:r>
      <w:proofErr w:type="spellStart"/>
      <w:r w:rsidRPr="00E852B9">
        <w:rPr>
          <w:sz w:val="24"/>
          <w:szCs w:val="24"/>
        </w:rPr>
        <w:t>Langda</w:t>
      </w:r>
      <w:proofErr w:type="spellEnd"/>
      <w:r w:rsidRPr="00E852B9">
        <w:rPr>
          <w:sz w:val="24"/>
          <w:szCs w:val="24"/>
        </w:rPr>
        <w:t xml:space="preserve"> as a variety of “production of disablement” (Kazemi 2026) that renders a section of the population unworthy of citizenship.  Extending this understanding we draw attention to everyday police practice in India. We also trace  the circumstances under which ‘half-encounter’ becomes a humane alternative to the full encounter or to killing. In Puar’s terms, there is a move towards not letting die. Further, we discuss the phenomenon of maiming and its renewed visibility in the media while reading it against the backdrop of the post-2016 disability rights discourse that recognizes violently acquired disabilities in the category of acid attack victims. In India, the DS discourse will in all probability have to educate the human rights discourse on securing the rights of the half-encountered within a disability framework, while not always harping on prevention. The implications of being counted thus extend into the future, with the Indian census getting underway in 2027.</w:t>
      </w:r>
      <w:r>
        <w:br w:type="page"/>
      </w:r>
    </w:p>
    <w:p w14:paraId="162A3EAD"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lastRenderedPageBreak/>
        <w:t>7. Governing Disability in Digital India: A Governmentality Analysis of the Unique Disability ID (UDID) System</w:t>
      </w:r>
    </w:p>
    <w:p w14:paraId="6DB326FF" w14:textId="77777777" w:rsidR="008866AF" w:rsidRDefault="008866AF" w:rsidP="008866AF">
      <w:pPr>
        <w:spacing w:after="0" w:line="240" w:lineRule="auto"/>
        <w:jc w:val="center"/>
        <w:rPr>
          <w:rFonts w:ascii="Calibri" w:eastAsia="Calibri" w:hAnsi="Calibri" w:cs="Calibri"/>
          <w:b/>
          <w:bCs/>
          <w:sz w:val="24"/>
          <w:szCs w:val="24"/>
        </w:rPr>
      </w:pPr>
    </w:p>
    <w:p w14:paraId="0CEBEEAA" w14:textId="77777777" w:rsidR="008866AF" w:rsidRPr="00242000" w:rsidRDefault="008866AF" w:rsidP="008866AF">
      <w:pPr>
        <w:spacing w:after="0" w:line="240" w:lineRule="auto"/>
        <w:rPr>
          <w:rFonts w:asciiTheme="majorHAnsi" w:eastAsia="Arial" w:hAnsiTheme="majorHAnsi" w:cstheme="majorHAnsi"/>
          <w:sz w:val="24"/>
          <w:szCs w:val="24"/>
        </w:rPr>
      </w:pPr>
      <w:r w:rsidRPr="00242000">
        <w:rPr>
          <w:rFonts w:asciiTheme="majorHAnsi" w:eastAsia="Calibri" w:hAnsiTheme="majorHAnsi" w:cstheme="majorHAnsi"/>
          <w:b/>
          <w:bCs/>
          <w:sz w:val="24"/>
          <w:szCs w:val="24"/>
        </w:rPr>
        <w:t xml:space="preserve">K. K. Prahalad, </w:t>
      </w:r>
      <w:r w:rsidRPr="00242000">
        <w:rPr>
          <w:rFonts w:asciiTheme="majorHAnsi" w:eastAsia="Calibri" w:hAnsiTheme="majorHAnsi" w:cstheme="majorHAnsi"/>
          <w:sz w:val="24"/>
          <w:szCs w:val="24"/>
        </w:rPr>
        <w:t xml:space="preserve">Senior Legal and Policy Associate, Pacta. Email: </w:t>
      </w:r>
      <w:hyperlink r:id="rId17">
        <w:r w:rsidRPr="00242000">
          <w:rPr>
            <w:rFonts w:asciiTheme="majorHAnsi" w:eastAsia="Arial" w:hAnsiTheme="majorHAnsi" w:cstheme="majorHAnsi"/>
            <w:color w:val="1155CC"/>
            <w:sz w:val="24"/>
            <w:szCs w:val="24"/>
            <w:u w:val="single"/>
          </w:rPr>
          <w:t>prahalad@pacta.in</w:t>
        </w:r>
      </w:hyperlink>
    </w:p>
    <w:p w14:paraId="522FA422" w14:textId="77777777" w:rsidR="008866AF" w:rsidRPr="00242000" w:rsidRDefault="008866AF" w:rsidP="008866AF">
      <w:pPr>
        <w:spacing w:after="0" w:line="240" w:lineRule="auto"/>
        <w:ind w:left="720"/>
        <w:jc w:val="center"/>
        <w:rPr>
          <w:rFonts w:asciiTheme="majorHAnsi" w:eastAsia="Calibri" w:hAnsiTheme="majorHAnsi" w:cstheme="majorHAnsi"/>
          <w:b/>
          <w:bCs/>
          <w:sz w:val="24"/>
          <w:szCs w:val="24"/>
        </w:rPr>
      </w:pPr>
    </w:p>
    <w:p w14:paraId="08B884EC" w14:textId="77777777" w:rsidR="008866AF" w:rsidRPr="00242000" w:rsidRDefault="008866AF" w:rsidP="008866AF">
      <w:pPr>
        <w:spacing w:after="0" w:line="240" w:lineRule="auto"/>
        <w:rPr>
          <w:rFonts w:asciiTheme="majorHAnsi" w:hAnsiTheme="majorHAnsi" w:cstheme="majorHAnsi"/>
          <w:sz w:val="24"/>
          <w:szCs w:val="24"/>
        </w:rPr>
      </w:pPr>
      <w:r w:rsidRPr="00242000">
        <w:rPr>
          <w:rFonts w:asciiTheme="majorHAnsi" w:eastAsia="Calibri" w:hAnsiTheme="majorHAnsi" w:cstheme="majorHAnsi"/>
          <w:b/>
          <w:bCs/>
          <w:sz w:val="24"/>
          <w:szCs w:val="24"/>
        </w:rPr>
        <w:t>Nivedita Krishna,</w:t>
      </w:r>
      <w:r w:rsidRPr="00242000">
        <w:rPr>
          <w:rFonts w:asciiTheme="majorHAnsi" w:eastAsia="Calibri" w:hAnsiTheme="majorHAnsi" w:cstheme="majorHAnsi"/>
          <w:sz w:val="24"/>
          <w:szCs w:val="24"/>
        </w:rPr>
        <w:t xml:space="preserve"> Founder-Director, Pacta. Email: </w:t>
      </w:r>
      <w:hyperlink r:id="rId18">
        <w:r w:rsidRPr="00242000">
          <w:rPr>
            <w:rFonts w:asciiTheme="majorHAnsi" w:eastAsia="Roboto" w:hAnsiTheme="majorHAnsi" w:cstheme="majorHAnsi"/>
            <w:color w:val="1155CC"/>
            <w:sz w:val="24"/>
            <w:szCs w:val="24"/>
            <w:highlight w:val="white"/>
            <w:u w:val="single"/>
          </w:rPr>
          <w:t>nivedita@pacta.in</w:t>
        </w:r>
      </w:hyperlink>
    </w:p>
    <w:p w14:paraId="29CFF9AC" w14:textId="77777777" w:rsidR="008866AF" w:rsidRDefault="008866AF" w:rsidP="008866AF">
      <w:pPr>
        <w:spacing w:after="0" w:line="240" w:lineRule="auto"/>
        <w:jc w:val="center"/>
        <w:rPr>
          <w:rFonts w:ascii="Roboto" w:eastAsia="Roboto" w:hAnsi="Roboto" w:cs="Roboto"/>
          <w:sz w:val="21"/>
          <w:szCs w:val="21"/>
          <w:highlight w:val="white"/>
        </w:rPr>
      </w:pPr>
    </w:p>
    <w:p w14:paraId="2AAA0E35" w14:textId="77777777" w:rsidR="008866AF" w:rsidRDefault="008866AF" w:rsidP="008866AF">
      <w:pPr>
        <w:spacing w:after="0" w:line="240" w:lineRule="auto"/>
        <w:ind w:left="720"/>
        <w:jc w:val="center"/>
      </w:pPr>
      <w:r>
        <w:rPr>
          <w:rFonts w:ascii="Calibri" w:eastAsia="Calibri" w:hAnsi="Calibri" w:cs="Calibri"/>
          <w:sz w:val="24"/>
          <w:szCs w:val="24"/>
        </w:rPr>
        <w:t xml:space="preserve"> </w:t>
      </w:r>
    </w:p>
    <w:p w14:paraId="58EFCF1C" w14:textId="77777777" w:rsidR="008866AF" w:rsidRPr="00E852B9" w:rsidRDefault="008866AF" w:rsidP="008866AF">
      <w:pPr>
        <w:jc w:val="both"/>
        <w:rPr>
          <w:sz w:val="24"/>
          <w:szCs w:val="24"/>
        </w:rPr>
      </w:pPr>
      <w:r w:rsidRPr="00E852B9">
        <w:rPr>
          <w:sz w:val="24"/>
          <w:szCs w:val="24"/>
        </w:rPr>
        <w:t xml:space="preserve">India's Rights of Persons with Disabilities Act, 2016 establishes a progressive disability rights framework for the country. However, the Unique Disability ID (UDID) system, a digitally administered identification scheme, restricts the rights the legislation guarantees while mediating it. This paper applies Foucauldian governmentality theory to </w:t>
      </w:r>
      <w:proofErr w:type="spellStart"/>
      <w:r w:rsidRPr="00E852B9">
        <w:rPr>
          <w:sz w:val="24"/>
          <w:szCs w:val="24"/>
        </w:rPr>
        <w:t>analyse</w:t>
      </w:r>
      <w:proofErr w:type="spellEnd"/>
      <w:r w:rsidRPr="00E852B9">
        <w:rPr>
          <w:sz w:val="24"/>
          <w:szCs w:val="24"/>
        </w:rPr>
        <w:t xml:space="preserve"> how UDID operates not as implementation failure but as a biopolitical apparatus producing conditional inclusion through infrastructural filtering.</w:t>
      </w:r>
    </w:p>
    <w:p w14:paraId="02E9466F" w14:textId="77777777" w:rsidR="008866AF" w:rsidRPr="00E852B9" w:rsidRDefault="008866AF" w:rsidP="008866AF">
      <w:pPr>
        <w:jc w:val="both"/>
        <w:rPr>
          <w:sz w:val="24"/>
          <w:szCs w:val="24"/>
        </w:rPr>
      </w:pPr>
      <w:r w:rsidRPr="00E852B9">
        <w:rPr>
          <w:sz w:val="24"/>
          <w:szCs w:val="24"/>
        </w:rPr>
        <w:t xml:space="preserve">Drawing on government documentation, advocacy sources, and critical digital governance scholarship, we argue that UDID functions as a sorting mechanism creating what we term the "able-disabled" subject, persons with disabilities who possess the digital literacy, geographic proximity, economic resources, and bureaucratic capacity to navigate enrolment. We also argue that UDID performs a dual function. Operationally, it governs disability through administering access rather than explicit prohibition. Ideologically, it serves India's </w:t>
      </w:r>
      <w:proofErr w:type="spellStart"/>
      <w:r w:rsidRPr="00E852B9">
        <w:rPr>
          <w:sz w:val="24"/>
          <w:szCs w:val="24"/>
        </w:rPr>
        <w:t>informationalism</w:t>
      </w:r>
      <w:proofErr w:type="spellEnd"/>
      <w:r w:rsidRPr="00E852B9">
        <w:rPr>
          <w:sz w:val="24"/>
          <w:szCs w:val="24"/>
        </w:rPr>
        <w:t xml:space="preserve"> narratives, allowing the state to claim technological modernity while structural barriers quietly exclude marginalized populations. With only 48% enrollment after nearly a decade, UDID exemplifies how neoliberal digital infrastructures reconfigure rather than eliminate exclusion, transforming social rights into conditional entitlements.</w:t>
      </w:r>
    </w:p>
    <w:p w14:paraId="4A3FBAF5" w14:textId="77777777" w:rsidR="008866AF" w:rsidRDefault="008866AF" w:rsidP="008866AF">
      <w:pPr>
        <w:jc w:val="both"/>
      </w:pPr>
      <w:r w:rsidRPr="00E852B9">
        <w:rPr>
          <w:sz w:val="24"/>
          <w:szCs w:val="24"/>
        </w:rPr>
        <w:t>The paper concludes with policy recommendations that recognize that the problem is not poor administration but an architecture that presumes evenly distributed capacities. The analysis contributes to disability studies and digital governance scholarship by extending Global North frameworks to postcolonial contexts and demonstrating how rights-based legal frameworks become hollow when mediated through exclusionary infrastructures.</w:t>
      </w:r>
      <w:r>
        <w:br w:type="page"/>
      </w:r>
    </w:p>
    <w:p w14:paraId="09F43069" w14:textId="77777777" w:rsidR="008866AF" w:rsidRDefault="008866AF" w:rsidP="008866AF"/>
    <w:p w14:paraId="77F1E9BC" w14:textId="77777777" w:rsidR="008866AF" w:rsidRDefault="008866AF" w:rsidP="008866AF">
      <w:pPr>
        <w:spacing w:after="0" w:line="240" w:lineRule="auto"/>
        <w:jc w:val="center"/>
        <w:rPr>
          <w:rFonts w:ascii="Calibri" w:eastAsia="Calibri" w:hAnsi="Calibri" w:cs="Calibri"/>
          <w:b/>
          <w:bCs/>
          <w:sz w:val="24"/>
          <w:szCs w:val="24"/>
        </w:rPr>
      </w:pPr>
    </w:p>
    <w:p w14:paraId="16A0B6FA"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8.  Disability Poetics Witnessing Palestine</w:t>
      </w:r>
    </w:p>
    <w:p w14:paraId="2E985B08" w14:textId="77777777" w:rsidR="008866AF" w:rsidRDefault="008866AF" w:rsidP="008866AF">
      <w:pPr>
        <w:spacing w:after="0" w:line="240" w:lineRule="auto"/>
        <w:jc w:val="center"/>
        <w:rPr>
          <w:rFonts w:ascii="Calibri" w:eastAsia="Calibri" w:hAnsi="Calibri" w:cs="Calibri"/>
          <w:b/>
          <w:bCs/>
          <w:sz w:val="24"/>
          <w:szCs w:val="24"/>
        </w:rPr>
      </w:pPr>
    </w:p>
    <w:p w14:paraId="25E8FCF4"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Rimjhim Bhattacherjee, </w:t>
      </w:r>
      <w:r>
        <w:rPr>
          <w:rFonts w:ascii="Calibri" w:eastAsia="Calibri" w:hAnsi="Calibri" w:cs="Calibri"/>
          <w:sz w:val="24"/>
          <w:szCs w:val="24"/>
        </w:rPr>
        <w:t xml:space="preserve">Assistant Professor, Department of English, </w:t>
      </w:r>
      <w:proofErr w:type="spellStart"/>
      <w:r>
        <w:rPr>
          <w:rFonts w:ascii="Calibri" w:eastAsia="Calibri" w:hAnsi="Calibri" w:cs="Calibri"/>
          <w:sz w:val="24"/>
          <w:szCs w:val="24"/>
        </w:rPr>
        <w:t>Udaynarayanpur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Madhabilata</w:t>
      </w:r>
      <w:proofErr w:type="spellEnd"/>
      <w:r>
        <w:rPr>
          <w:rFonts w:ascii="Calibri" w:eastAsia="Calibri" w:hAnsi="Calibri" w:cs="Calibri"/>
          <w:sz w:val="24"/>
          <w:szCs w:val="24"/>
        </w:rPr>
        <w:t xml:space="preserve"> Mahavidyalaya. Email: </w:t>
      </w:r>
      <w:hyperlink r:id="rId19">
        <w:r>
          <w:rPr>
            <w:rFonts w:ascii="Calibri" w:eastAsia="Calibri" w:hAnsi="Calibri" w:cs="Calibri"/>
            <w:color w:val="1155CC"/>
            <w:sz w:val="24"/>
            <w:szCs w:val="24"/>
            <w:u w:val="single"/>
          </w:rPr>
          <w:t>rimjhimbhattacherjee@gmail.com</w:t>
        </w:r>
      </w:hyperlink>
    </w:p>
    <w:p w14:paraId="763CD535" w14:textId="77777777" w:rsidR="008866AF" w:rsidRDefault="008866AF" w:rsidP="008866AF">
      <w:pPr>
        <w:spacing w:after="0" w:line="240" w:lineRule="auto"/>
        <w:rPr>
          <w:rFonts w:ascii="Calibri" w:eastAsia="Calibri" w:hAnsi="Calibri" w:cs="Calibri"/>
          <w:sz w:val="24"/>
          <w:szCs w:val="24"/>
        </w:rPr>
      </w:pPr>
    </w:p>
    <w:p w14:paraId="16CC57C7" w14:textId="77777777" w:rsidR="008866AF" w:rsidRDefault="008866AF" w:rsidP="008866AF">
      <w:pPr>
        <w:jc w:val="both"/>
      </w:pPr>
    </w:p>
    <w:p w14:paraId="38503B25" w14:textId="77777777" w:rsidR="008866AF" w:rsidRPr="00E852B9" w:rsidRDefault="008866AF" w:rsidP="008866AF">
      <w:pPr>
        <w:jc w:val="both"/>
        <w:rPr>
          <w:sz w:val="24"/>
          <w:szCs w:val="24"/>
        </w:rPr>
      </w:pPr>
      <w:r w:rsidRPr="00E852B9">
        <w:rPr>
          <w:sz w:val="24"/>
          <w:szCs w:val="24"/>
        </w:rPr>
        <w:t xml:space="preserve">This paper argues that contemporary Palestinian poetry registers a disability poetics that exposes the production of disablement and debility under a settler colonial regime. Rather than representing disability through individual, social or rights-based frameworks, poets record chronic conditions, infrastructural violence and suspended futurities in material, embodied terms. This paper thus conceives of disability poetics as a set of registers and formal and ethical strategies in poetic composition that convey the fragmentation, repetition and dissonance of human existence in conditions of chronic and systemic disablement. This disability poetics refuses both cure and liberal human rights discourses. Methodologically, the paper employs close textual reading of Palestinian poetry informed by disability and decolonial theories. Thereby, it reads this poetry as witness to and archive of the material conditions of debility caused by settler colonial violence. Palestinian disability poetics offers poetry as a politically charged practice that refuses both to </w:t>
      </w:r>
      <w:proofErr w:type="spellStart"/>
      <w:r w:rsidRPr="00E852B9">
        <w:rPr>
          <w:sz w:val="24"/>
          <w:szCs w:val="24"/>
        </w:rPr>
        <w:t>aestheticise</w:t>
      </w:r>
      <w:proofErr w:type="spellEnd"/>
      <w:r w:rsidRPr="00E852B9">
        <w:rPr>
          <w:sz w:val="24"/>
          <w:szCs w:val="24"/>
        </w:rPr>
        <w:t xml:space="preserve"> suffering and to accept the platitudes of restorative justice. Instead, it seems to imagine futurity, in settler colonial contexts like Palestine, through collective survival mechanisms and a radical interdependence. Disability poetics thus emerges as a critical framework for rethinking disability futures in conditions where rehabilitation, legal protection and restorative justice do not apply.</w:t>
      </w:r>
    </w:p>
    <w:p w14:paraId="78F9C9B6" w14:textId="77777777" w:rsidR="008866AF" w:rsidRDefault="008866AF" w:rsidP="008866AF">
      <w:r>
        <w:br w:type="page"/>
      </w:r>
    </w:p>
    <w:p w14:paraId="21BC5211" w14:textId="77777777" w:rsidR="008866AF" w:rsidRDefault="008866AF" w:rsidP="008866AF">
      <w:pPr>
        <w:pStyle w:val="Heading1"/>
      </w:pPr>
      <w:r>
        <w:lastRenderedPageBreak/>
        <w:t>Panel 4: Disability and Cinema</w:t>
      </w:r>
    </w:p>
    <w:p w14:paraId="50A50EE5" w14:textId="77777777" w:rsidR="008866AF" w:rsidRDefault="008866AF" w:rsidP="008866AF">
      <w:pPr>
        <w:spacing w:after="0" w:line="240" w:lineRule="auto"/>
      </w:pPr>
    </w:p>
    <w:p w14:paraId="67395449" w14:textId="77777777" w:rsidR="008866AF" w:rsidRDefault="008866AF" w:rsidP="008866AF">
      <w:pPr>
        <w:spacing w:after="0" w:line="240" w:lineRule="auto"/>
        <w:rPr>
          <w:rFonts w:ascii="Calibri" w:eastAsia="Calibri" w:hAnsi="Calibri" w:cs="Calibri"/>
          <w:b/>
          <w:bCs/>
          <w:sz w:val="24"/>
          <w:szCs w:val="24"/>
        </w:rPr>
      </w:pPr>
      <w:r>
        <w:rPr>
          <w:b/>
          <w:bCs/>
        </w:rPr>
        <w:t>9</w:t>
      </w:r>
      <w:r w:rsidRPr="007E0DC0">
        <w:rPr>
          <w:b/>
          <w:bCs/>
        </w:rPr>
        <w:t>.</w:t>
      </w:r>
      <w:r>
        <w:t xml:space="preserve"> </w:t>
      </w:r>
      <w:r>
        <w:rPr>
          <w:rFonts w:ascii="Calibri" w:eastAsia="Calibri" w:hAnsi="Calibri" w:cs="Calibri"/>
          <w:b/>
          <w:bCs/>
          <w:sz w:val="24"/>
          <w:szCs w:val="24"/>
        </w:rPr>
        <w:t xml:space="preserve">The </w:t>
      </w:r>
      <w:proofErr w:type="spellStart"/>
      <w:r>
        <w:rPr>
          <w:rFonts w:ascii="Calibri" w:eastAsia="Calibri" w:hAnsi="Calibri" w:cs="Calibri"/>
          <w:b/>
          <w:bCs/>
          <w:sz w:val="24"/>
          <w:szCs w:val="24"/>
        </w:rPr>
        <w:t>Thyagi</w:t>
      </w:r>
      <w:proofErr w:type="spellEnd"/>
      <w:r>
        <w:rPr>
          <w:rFonts w:ascii="Calibri" w:eastAsia="Calibri" w:hAnsi="Calibri" w:cs="Calibri"/>
          <w:b/>
          <w:bCs/>
          <w:sz w:val="24"/>
          <w:szCs w:val="24"/>
        </w:rPr>
        <w:t xml:space="preserve"> Trope of Disability Representation: Explicating the Discourse of Disability in the Tamil movie Mani </w:t>
      </w:r>
      <w:proofErr w:type="spellStart"/>
      <w:r>
        <w:rPr>
          <w:rFonts w:ascii="Calibri" w:eastAsia="Calibri" w:hAnsi="Calibri" w:cs="Calibri"/>
          <w:b/>
          <w:bCs/>
          <w:sz w:val="24"/>
          <w:szCs w:val="24"/>
        </w:rPr>
        <w:t>Osai</w:t>
      </w:r>
      <w:proofErr w:type="spellEnd"/>
      <w:r>
        <w:rPr>
          <w:rFonts w:ascii="Calibri" w:eastAsia="Calibri" w:hAnsi="Calibri" w:cs="Calibri"/>
          <w:b/>
          <w:bCs/>
          <w:sz w:val="24"/>
          <w:szCs w:val="24"/>
        </w:rPr>
        <w:t xml:space="preserve"> (1963)</w:t>
      </w:r>
    </w:p>
    <w:p w14:paraId="1D636058" w14:textId="77777777" w:rsidR="008866AF" w:rsidRDefault="008866AF" w:rsidP="008866AF">
      <w:pPr>
        <w:spacing w:after="0" w:line="240" w:lineRule="auto"/>
        <w:ind w:left="720"/>
        <w:jc w:val="center"/>
        <w:rPr>
          <w:rFonts w:ascii="Calibri" w:eastAsia="Calibri" w:hAnsi="Calibri" w:cs="Calibri"/>
          <w:sz w:val="24"/>
          <w:szCs w:val="24"/>
        </w:rPr>
      </w:pPr>
    </w:p>
    <w:p w14:paraId="0873D20F"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Kathiresan G.,</w:t>
      </w:r>
      <w:r>
        <w:rPr>
          <w:rFonts w:ascii="Calibri" w:eastAsia="Calibri" w:hAnsi="Calibri" w:cs="Calibri"/>
          <w:sz w:val="24"/>
          <w:szCs w:val="24"/>
        </w:rPr>
        <w:t xml:space="preserve"> Doctoral Researcher, Indian Institute of Science Education and Research Tirupati. Email: </w:t>
      </w:r>
      <w:hyperlink r:id="rId20">
        <w:r>
          <w:rPr>
            <w:rFonts w:ascii="Calibri" w:eastAsia="Calibri" w:hAnsi="Calibri" w:cs="Calibri"/>
            <w:color w:val="1155CC"/>
            <w:sz w:val="24"/>
            <w:szCs w:val="24"/>
            <w:u w:val="single"/>
          </w:rPr>
          <w:t>kathiresanguna3108@gmail.com</w:t>
        </w:r>
      </w:hyperlink>
    </w:p>
    <w:p w14:paraId="5E4E44DE" w14:textId="77777777" w:rsidR="008866AF" w:rsidRDefault="008866AF" w:rsidP="008866AF">
      <w:pPr>
        <w:spacing w:after="0" w:line="240" w:lineRule="auto"/>
        <w:ind w:left="720"/>
        <w:jc w:val="center"/>
        <w:rPr>
          <w:rFonts w:ascii="Calibri" w:eastAsia="Calibri" w:hAnsi="Calibri" w:cs="Calibri"/>
          <w:b/>
          <w:bCs/>
          <w:sz w:val="24"/>
          <w:szCs w:val="24"/>
        </w:rPr>
      </w:pPr>
    </w:p>
    <w:p w14:paraId="7BB4D40F"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Doreswamy, </w:t>
      </w:r>
      <w:r>
        <w:rPr>
          <w:rFonts w:ascii="Calibri" w:eastAsia="Calibri" w:hAnsi="Calibri" w:cs="Calibri"/>
          <w:sz w:val="24"/>
          <w:szCs w:val="24"/>
        </w:rPr>
        <w:t xml:space="preserve">Assistant Professor of English, Department of Humanities and Social Sciences, Indian Institute of Science Education and Research Tirupati. Email: </w:t>
      </w:r>
      <w:hyperlink r:id="rId21">
        <w:r>
          <w:rPr>
            <w:rFonts w:ascii="Calibri" w:eastAsia="Calibri" w:hAnsi="Calibri" w:cs="Calibri"/>
            <w:color w:val="1155CC"/>
            <w:sz w:val="24"/>
            <w:szCs w:val="24"/>
            <w:u w:val="single"/>
          </w:rPr>
          <w:t>doreswamy@iisertirupati.ac.in</w:t>
        </w:r>
      </w:hyperlink>
    </w:p>
    <w:p w14:paraId="6338345D" w14:textId="77777777" w:rsidR="008866AF" w:rsidRDefault="008866AF" w:rsidP="008866AF">
      <w:pPr>
        <w:spacing w:after="0" w:line="240" w:lineRule="auto"/>
        <w:ind w:left="720"/>
        <w:jc w:val="center"/>
        <w:rPr>
          <w:rFonts w:ascii="Calibri" w:eastAsia="Calibri" w:hAnsi="Calibri" w:cs="Calibri"/>
          <w:sz w:val="24"/>
          <w:szCs w:val="24"/>
        </w:rPr>
      </w:pPr>
      <w:r>
        <w:rPr>
          <w:rFonts w:ascii="Calibri" w:eastAsia="Calibri" w:hAnsi="Calibri" w:cs="Calibri"/>
          <w:sz w:val="24"/>
          <w:szCs w:val="24"/>
        </w:rPr>
        <w:t xml:space="preserve"> </w:t>
      </w:r>
    </w:p>
    <w:p w14:paraId="7E3DC9CB" w14:textId="77777777" w:rsidR="008866AF" w:rsidRDefault="008866AF" w:rsidP="008866AF"/>
    <w:p w14:paraId="2373742C" w14:textId="77777777" w:rsidR="008866AF" w:rsidRDefault="008866AF" w:rsidP="008866AF">
      <w:pPr>
        <w:jc w:val="both"/>
      </w:pPr>
      <w:r w:rsidRPr="00E852B9">
        <w:rPr>
          <w:sz w:val="24"/>
          <w:szCs w:val="24"/>
        </w:rPr>
        <w:t>The present research proposes a notion, the “</w:t>
      </w:r>
      <w:proofErr w:type="spellStart"/>
      <w:r w:rsidRPr="00E852B9">
        <w:rPr>
          <w:sz w:val="24"/>
          <w:szCs w:val="24"/>
        </w:rPr>
        <w:t>Thyagi</w:t>
      </w:r>
      <w:proofErr w:type="spellEnd"/>
      <w:r w:rsidRPr="00E852B9">
        <w:rPr>
          <w:sz w:val="24"/>
          <w:szCs w:val="24"/>
        </w:rPr>
        <w:t xml:space="preserve"> trope”, which can be perceived as one of the extending </w:t>
      </w:r>
      <w:proofErr w:type="spellStart"/>
      <w:r w:rsidRPr="00E852B9">
        <w:rPr>
          <w:sz w:val="24"/>
          <w:szCs w:val="24"/>
        </w:rPr>
        <w:t>endeavours</w:t>
      </w:r>
      <w:proofErr w:type="spellEnd"/>
      <w:r w:rsidRPr="00E852B9">
        <w:rPr>
          <w:sz w:val="24"/>
          <w:szCs w:val="24"/>
        </w:rPr>
        <w:t xml:space="preserve"> from the Supercrip discourse. The detailed study of the Supercrip trope has been undertaken to identify the notion that could broaden the Supercrip framework across different cultural settings. It also brings in the parallel of the already established morality trope (Elizabeth) of disability representation in order to demonstrate the difference between the former and the </w:t>
      </w:r>
      <w:proofErr w:type="spellStart"/>
      <w:r w:rsidRPr="00E852B9">
        <w:rPr>
          <w:sz w:val="24"/>
          <w:szCs w:val="24"/>
        </w:rPr>
        <w:t>Thyagi</w:t>
      </w:r>
      <w:proofErr w:type="spellEnd"/>
      <w:r w:rsidRPr="00E852B9">
        <w:rPr>
          <w:sz w:val="24"/>
          <w:szCs w:val="24"/>
        </w:rPr>
        <w:t xml:space="preserve"> trope that deals with the extreme form of morality discourse. As a first step, this work </w:t>
      </w:r>
      <w:proofErr w:type="spellStart"/>
      <w:r w:rsidRPr="00E852B9">
        <w:rPr>
          <w:sz w:val="24"/>
          <w:szCs w:val="24"/>
        </w:rPr>
        <w:t>contextualises</w:t>
      </w:r>
      <w:proofErr w:type="spellEnd"/>
      <w:r w:rsidRPr="00E852B9">
        <w:rPr>
          <w:sz w:val="24"/>
          <w:szCs w:val="24"/>
        </w:rPr>
        <w:t xml:space="preserve"> the </w:t>
      </w:r>
      <w:proofErr w:type="spellStart"/>
      <w:r w:rsidRPr="00E852B9">
        <w:rPr>
          <w:sz w:val="24"/>
          <w:szCs w:val="24"/>
        </w:rPr>
        <w:t>Thyagi</w:t>
      </w:r>
      <w:proofErr w:type="spellEnd"/>
      <w:r w:rsidRPr="00E852B9">
        <w:rPr>
          <w:sz w:val="24"/>
          <w:szCs w:val="24"/>
        </w:rPr>
        <w:t xml:space="preserve"> Trope within the analysis of a mid-twentieth-century Tamil movie, Mani </w:t>
      </w:r>
      <w:proofErr w:type="spellStart"/>
      <w:r w:rsidRPr="00E852B9">
        <w:rPr>
          <w:sz w:val="24"/>
          <w:szCs w:val="24"/>
        </w:rPr>
        <w:t>Osai</w:t>
      </w:r>
      <w:proofErr w:type="spellEnd"/>
      <w:r w:rsidRPr="00E852B9">
        <w:rPr>
          <w:sz w:val="24"/>
          <w:szCs w:val="24"/>
        </w:rPr>
        <w:t xml:space="preserve"> (1963), a product of the major Tamil popular cultural mainstream. By doing so, a culturally rooted deconstruction of ableist discourse is being established.</w:t>
      </w:r>
      <w:r>
        <w:br w:type="page"/>
      </w:r>
    </w:p>
    <w:p w14:paraId="1F3C868A" w14:textId="77777777" w:rsidR="008866AF" w:rsidRDefault="008866AF" w:rsidP="008866AF"/>
    <w:p w14:paraId="70022BB4"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10. Staring at Disability: Production of Ableist in Hindi Cinema from Creation to consumption</w:t>
      </w:r>
    </w:p>
    <w:p w14:paraId="1E5394D9" w14:textId="77777777" w:rsidR="008866AF" w:rsidRDefault="008866AF" w:rsidP="008866AF">
      <w:pPr>
        <w:spacing w:after="0" w:line="240" w:lineRule="auto"/>
        <w:ind w:left="720"/>
        <w:jc w:val="center"/>
        <w:rPr>
          <w:rFonts w:ascii="Calibri" w:eastAsia="Calibri" w:hAnsi="Calibri" w:cs="Calibri"/>
          <w:b/>
          <w:bCs/>
          <w:sz w:val="24"/>
          <w:szCs w:val="24"/>
        </w:rPr>
      </w:pPr>
    </w:p>
    <w:p w14:paraId="07821770"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Ajaykumar Shukla, </w:t>
      </w:r>
      <w:r>
        <w:rPr>
          <w:rFonts w:ascii="Calibri" w:eastAsia="Calibri" w:hAnsi="Calibri" w:cs="Calibri"/>
          <w:sz w:val="24"/>
          <w:szCs w:val="24"/>
        </w:rPr>
        <w:t xml:space="preserve">PhD Candidate, Centre for Media Studies, Jawaharlal Nehru University. Email: </w:t>
      </w:r>
      <w:hyperlink r:id="rId22">
        <w:r>
          <w:rPr>
            <w:rFonts w:ascii="Calibri" w:eastAsia="Calibri" w:hAnsi="Calibri" w:cs="Calibri"/>
            <w:color w:val="1155CC"/>
            <w:sz w:val="24"/>
            <w:szCs w:val="24"/>
            <w:u w:val="single"/>
          </w:rPr>
          <w:t>ajaykumarshukla37@gmail.com</w:t>
        </w:r>
      </w:hyperlink>
    </w:p>
    <w:p w14:paraId="24C9C58F" w14:textId="77777777" w:rsidR="008866AF" w:rsidRDefault="008866AF" w:rsidP="008866AF">
      <w:pPr>
        <w:spacing w:after="0" w:line="240" w:lineRule="auto"/>
        <w:ind w:left="720"/>
        <w:jc w:val="center"/>
        <w:rPr>
          <w:rFonts w:ascii="Calibri" w:eastAsia="Calibri" w:hAnsi="Calibri" w:cs="Calibri"/>
          <w:b/>
          <w:bCs/>
          <w:sz w:val="24"/>
          <w:szCs w:val="24"/>
        </w:rPr>
      </w:pPr>
    </w:p>
    <w:p w14:paraId="6BACB652" w14:textId="77777777" w:rsidR="008866AF" w:rsidRDefault="008866AF" w:rsidP="008866AF"/>
    <w:p w14:paraId="5BDB4A8B" w14:textId="77777777" w:rsidR="008866AF" w:rsidRPr="0027586A" w:rsidRDefault="008866AF" w:rsidP="008866AF">
      <w:pPr>
        <w:jc w:val="both"/>
        <w:rPr>
          <w:rFonts w:ascii="Calibri" w:eastAsia="Calibri" w:hAnsi="Calibri" w:cs="Calibri"/>
          <w:b/>
          <w:bCs/>
          <w:sz w:val="24"/>
          <w:szCs w:val="24"/>
        </w:rPr>
      </w:pPr>
      <w:r w:rsidRPr="00B51BE8">
        <w:rPr>
          <w:sz w:val="24"/>
          <w:szCs w:val="24"/>
        </w:rPr>
        <w:t>This paper examines how the stare is operationalized in the tripartite process of filmmaking in Hindi cinema and how it produces ableism. Drawing on the theoretical framework of 'staring' proposed by Rosemarie Garland-Thomson, this paper argues that Hindi cinema operates as a chamber of staring where disabled bodies are studied and treated as objects to satisfy the curiosity of non-disabled people. The analysis is structured through a tripartite analysis of filmmaking: Production, where the filmmaker constructs the 'misfit' body through a directorial, anthropological, and knowledge-gathering stare; Performance, where non-disabled actors stare and appropriate the lived experiences of disability to manufacture 'abnormal body' spectacles of mimicry; and Consumption, where the audience extracts 'inspiration porn' by staring at embodied disabled bodies on the screen. By highlighting the physical inaccessibility of theaters and the exclusion of disabled voices, the paper concludes that these films reinforce a sovereign, able-bodied gaze. Ultimately, it calls for a transition from 'staring' to 'beholding,' advocating for a 'stare-back' that disrupts the ableist circuit and reclaims disabled subjectivity.</w:t>
      </w:r>
      <w:r>
        <w:br w:type="page"/>
      </w:r>
    </w:p>
    <w:p w14:paraId="06C79FED" w14:textId="77777777" w:rsidR="008866AF" w:rsidRDefault="008866AF" w:rsidP="008866AF">
      <w:pPr>
        <w:pStyle w:val="Heading1"/>
      </w:pPr>
      <w:r>
        <w:lastRenderedPageBreak/>
        <w:t>Panel 5: Power, Knowledge, and Critique</w:t>
      </w:r>
    </w:p>
    <w:p w14:paraId="334EEA04" w14:textId="77777777" w:rsidR="008866AF" w:rsidRDefault="008866AF" w:rsidP="008866AF"/>
    <w:p w14:paraId="757467A7"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11. Critical Caste and Disability Studies: Alignments and Rupture</w:t>
      </w:r>
    </w:p>
    <w:p w14:paraId="0DB96775" w14:textId="77777777" w:rsidR="008866AF" w:rsidRDefault="008866AF" w:rsidP="008866AF">
      <w:pPr>
        <w:spacing w:after="0" w:line="240" w:lineRule="auto"/>
        <w:jc w:val="center"/>
        <w:rPr>
          <w:rFonts w:ascii="Calibri" w:eastAsia="Calibri" w:hAnsi="Calibri" w:cs="Calibri"/>
          <w:b/>
          <w:bCs/>
          <w:sz w:val="24"/>
          <w:szCs w:val="24"/>
        </w:rPr>
      </w:pPr>
    </w:p>
    <w:p w14:paraId="1CC2BBAA"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Anubha Anusree, </w:t>
      </w:r>
      <w:r>
        <w:rPr>
          <w:rFonts w:ascii="Calibri" w:eastAsia="Calibri" w:hAnsi="Calibri" w:cs="Calibri"/>
          <w:sz w:val="24"/>
          <w:szCs w:val="24"/>
        </w:rPr>
        <w:t xml:space="preserve">Associate Professor, Department of Humanities and Social Science, BITS Pilani Hyderabad. Email: </w:t>
      </w:r>
      <w:hyperlink r:id="rId23">
        <w:r>
          <w:rPr>
            <w:rFonts w:ascii="Calibri" w:eastAsia="Calibri" w:hAnsi="Calibri" w:cs="Calibri"/>
            <w:color w:val="1155CC"/>
            <w:sz w:val="24"/>
            <w:szCs w:val="24"/>
            <w:u w:val="single"/>
          </w:rPr>
          <w:t>anubha.anushree@gmail.com</w:t>
        </w:r>
      </w:hyperlink>
    </w:p>
    <w:p w14:paraId="75A61929" w14:textId="77777777" w:rsidR="008866AF" w:rsidRDefault="008866AF" w:rsidP="008866AF">
      <w:pPr>
        <w:spacing w:after="0" w:line="240" w:lineRule="auto"/>
        <w:ind w:left="720"/>
        <w:jc w:val="center"/>
        <w:rPr>
          <w:rFonts w:ascii="Calibri" w:eastAsia="Calibri" w:hAnsi="Calibri" w:cs="Calibri"/>
          <w:b/>
          <w:bCs/>
          <w:sz w:val="24"/>
          <w:szCs w:val="24"/>
        </w:rPr>
      </w:pPr>
    </w:p>
    <w:p w14:paraId="002020C6" w14:textId="77777777" w:rsidR="008866AF"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Shilpaa</w:t>
      </w:r>
      <w:proofErr w:type="spellEnd"/>
      <w:r>
        <w:rPr>
          <w:rFonts w:ascii="Calibri" w:eastAsia="Calibri" w:hAnsi="Calibri" w:cs="Calibri"/>
          <w:b/>
          <w:bCs/>
          <w:sz w:val="24"/>
          <w:szCs w:val="24"/>
        </w:rPr>
        <w:t xml:space="preserve"> Anand, </w:t>
      </w:r>
      <w:r>
        <w:rPr>
          <w:rFonts w:ascii="Calibri" w:eastAsia="Calibri" w:hAnsi="Calibri" w:cs="Calibri"/>
          <w:sz w:val="24"/>
          <w:szCs w:val="24"/>
        </w:rPr>
        <w:t xml:space="preserve">Associate Professor, Department of Humanities and Social Science, BITS Pilani Hyderabad. Email: </w:t>
      </w:r>
      <w:hyperlink r:id="rId24">
        <w:r>
          <w:rPr>
            <w:rFonts w:ascii="Calibri" w:eastAsia="Calibri" w:hAnsi="Calibri" w:cs="Calibri"/>
            <w:color w:val="1155CC"/>
            <w:sz w:val="24"/>
            <w:szCs w:val="24"/>
            <w:u w:val="single"/>
          </w:rPr>
          <w:t>shilpaa.anand@hyderabad.bits-pilani.ac.in</w:t>
        </w:r>
      </w:hyperlink>
    </w:p>
    <w:p w14:paraId="6B960E8A" w14:textId="77777777" w:rsidR="008866AF" w:rsidRDefault="008866AF" w:rsidP="008866AF">
      <w:pPr>
        <w:spacing w:after="0" w:line="240" w:lineRule="auto"/>
        <w:ind w:left="720"/>
        <w:jc w:val="center"/>
        <w:rPr>
          <w:rFonts w:ascii="Calibri" w:eastAsia="Calibri" w:hAnsi="Calibri" w:cs="Calibri"/>
          <w:sz w:val="24"/>
          <w:szCs w:val="24"/>
        </w:rPr>
      </w:pPr>
    </w:p>
    <w:p w14:paraId="76B8B054"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Akanksha Mehta, </w:t>
      </w:r>
      <w:r>
        <w:rPr>
          <w:rFonts w:ascii="Calibri" w:eastAsia="Calibri" w:hAnsi="Calibri" w:cs="Calibri"/>
          <w:sz w:val="24"/>
          <w:szCs w:val="24"/>
        </w:rPr>
        <w:t xml:space="preserve">Senior Lecturer in Gender, Sexuality, and Cultural Studies,  Co-Director of Centre for Feminist Research at Goldsmiths, University of London. </w:t>
      </w:r>
    </w:p>
    <w:p w14:paraId="265179D5"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sz w:val="24"/>
          <w:szCs w:val="24"/>
        </w:rPr>
        <w:t xml:space="preserve">Email: </w:t>
      </w:r>
      <w:hyperlink r:id="rId25">
        <w:r>
          <w:rPr>
            <w:rFonts w:ascii="Calibri" w:eastAsia="Calibri" w:hAnsi="Calibri" w:cs="Calibri"/>
            <w:color w:val="1155CC"/>
            <w:sz w:val="24"/>
            <w:szCs w:val="24"/>
            <w:u w:val="single"/>
          </w:rPr>
          <w:t>a.mehta@gold.ac.uk</w:t>
        </w:r>
      </w:hyperlink>
    </w:p>
    <w:p w14:paraId="1EBBA8D6" w14:textId="77777777" w:rsidR="008866AF" w:rsidRDefault="008866AF" w:rsidP="008866AF">
      <w:pPr>
        <w:spacing w:after="0" w:line="240" w:lineRule="auto"/>
        <w:ind w:left="720"/>
        <w:jc w:val="center"/>
        <w:rPr>
          <w:rFonts w:ascii="Calibri" w:eastAsia="Calibri" w:hAnsi="Calibri" w:cs="Calibri"/>
          <w:sz w:val="24"/>
          <w:szCs w:val="24"/>
        </w:rPr>
      </w:pPr>
      <w:r>
        <w:rPr>
          <w:rFonts w:ascii="Calibri" w:eastAsia="Calibri" w:hAnsi="Calibri" w:cs="Calibri"/>
          <w:sz w:val="24"/>
          <w:szCs w:val="24"/>
        </w:rPr>
        <w:t xml:space="preserve"> </w:t>
      </w:r>
    </w:p>
    <w:p w14:paraId="2048E605"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Jiya Pandya, Lecturer,</w:t>
      </w:r>
      <w:r>
        <w:rPr>
          <w:rFonts w:ascii="Calibri" w:eastAsia="Calibri" w:hAnsi="Calibri" w:cs="Calibri"/>
          <w:sz w:val="24"/>
          <w:szCs w:val="24"/>
        </w:rPr>
        <w:t xml:space="preserve"> Lecturer in Department of History and Program in Women’s Gender, and Sexuality Studies, Associate Research Scholar, </w:t>
      </w:r>
    </w:p>
    <w:p w14:paraId="27AD2436"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sz w:val="24"/>
          <w:szCs w:val="24"/>
        </w:rPr>
        <w:t xml:space="preserve">Yale University. Email: </w:t>
      </w:r>
      <w:hyperlink r:id="rId26">
        <w:r>
          <w:rPr>
            <w:rFonts w:ascii="Calibri" w:eastAsia="Calibri" w:hAnsi="Calibri" w:cs="Calibri"/>
            <w:color w:val="1155CC"/>
            <w:sz w:val="24"/>
            <w:szCs w:val="24"/>
            <w:u w:val="single"/>
          </w:rPr>
          <w:t>jiya.pandya@yale.edu</w:t>
        </w:r>
      </w:hyperlink>
    </w:p>
    <w:p w14:paraId="3852EFA7" w14:textId="77777777" w:rsidR="008866AF" w:rsidRDefault="008866AF" w:rsidP="008866AF">
      <w:pPr>
        <w:spacing w:after="0" w:line="240" w:lineRule="auto"/>
        <w:ind w:left="720"/>
        <w:jc w:val="center"/>
        <w:rPr>
          <w:rFonts w:ascii="Calibri" w:eastAsia="Calibri" w:hAnsi="Calibri" w:cs="Calibri"/>
          <w:b/>
          <w:bCs/>
          <w:sz w:val="24"/>
          <w:szCs w:val="24"/>
        </w:rPr>
      </w:pPr>
      <w:r>
        <w:rPr>
          <w:rFonts w:ascii="Calibri" w:eastAsia="Calibri" w:hAnsi="Calibri" w:cs="Calibri"/>
          <w:sz w:val="24"/>
          <w:szCs w:val="24"/>
        </w:rPr>
        <w:t xml:space="preserve"> </w:t>
      </w:r>
    </w:p>
    <w:p w14:paraId="60C0B0CF"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Meghana Rao, </w:t>
      </w:r>
      <w:r>
        <w:rPr>
          <w:rFonts w:ascii="Calibri" w:eastAsia="Calibri" w:hAnsi="Calibri" w:cs="Calibri"/>
          <w:sz w:val="24"/>
          <w:szCs w:val="24"/>
        </w:rPr>
        <w:t xml:space="preserve">Assistant Professor of Social Science, School of Arts and Sciences, Azim Premji University. Email: </w:t>
      </w:r>
      <w:hyperlink r:id="rId27">
        <w:r>
          <w:rPr>
            <w:rFonts w:ascii="Calibri" w:eastAsia="Calibri" w:hAnsi="Calibri" w:cs="Calibri"/>
            <w:color w:val="1155CC"/>
            <w:sz w:val="24"/>
            <w:szCs w:val="24"/>
            <w:u w:val="single"/>
          </w:rPr>
          <w:t>Meghana.rao@apu.edu.in</w:t>
        </w:r>
      </w:hyperlink>
    </w:p>
    <w:p w14:paraId="5B4BD88E" w14:textId="77777777" w:rsidR="008866AF" w:rsidRDefault="008866AF" w:rsidP="008866AF">
      <w:pPr>
        <w:spacing w:after="0" w:line="240" w:lineRule="auto"/>
        <w:rPr>
          <w:rFonts w:ascii="Calibri" w:eastAsia="Calibri" w:hAnsi="Calibri" w:cs="Calibri"/>
          <w:sz w:val="24"/>
          <w:szCs w:val="24"/>
        </w:rPr>
      </w:pPr>
    </w:p>
    <w:p w14:paraId="07BF93E2" w14:textId="77777777" w:rsidR="008866AF" w:rsidRPr="0027586A" w:rsidRDefault="008866AF" w:rsidP="008866AF">
      <w:pPr>
        <w:jc w:val="both"/>
        <w:rPr>
          <w:sz w:val="24"/>
          <w:szCs w:val="24"/>
        </w:rPr>
      </w:pPr>
      <w:r w:rsidRPr="0027586A">
        <w:rPr>
          <w:sz w:val="24"/>
          <w:szCs w:val="24"/>
        </w:rPr>
        <w:t xml:space="preserve">This collaborative project argues that disability studies be brought into sustained alignment with caste scholarship - not as mere intersectional inclusion, but as epistemological and political necessity. Jiya’s intervention insists that critical caste studies offers disability studies alternative imaginaries of nationalism, embodiment, and solidarity. Anti-caste thought reveals ways of inhabiting impairment, brokenness, and debilitation without reducing them to rights-claims within a welfare framework. Rather than adding caste to disability, it asks how caste restructures the very terms through which disability is conceptualized. </w:t>
      </w:r>
    </w:p>
    <w:p w14:paraId="5B9905D7" w14:textId="77777777" w:rsidR="008866AF" w:rsidRDefault="008866AF" w:rsidP="008866AF">
      <w:pPr>
        <w:jc w:val="both"/>
      </w:pPr>
      <w:r w:rsidRPr="0027586A">
        <w:rPr>
          <w:sz w:val="24"/>
          <w:szCs w:val="24"/>
        </w:rPr>
        <w:t>Through this collective, interdisciplinary inquiry we depart from dominant disability studies, which have privileged discursive critique, identity, and rights-bearing individual subjects. Centering material violence, labor, infrastructure, and the state’s role in producing  debility, we argue that violence  is embodied, cumulative, linguistically and bureaucratically organized. We advance a collective notion of emancipatory politics grounded in solidarities, interdependence, shared struggle - an orientation long affirmed within caste theory but less visible within dominant frameworks that privilege individualized liberation.</w:t>
      </w:r>
      <w:r>
        <w:br w:type="page"/>
      </w:r>
    </w:p>
    <w:p w14:paraId="1881E08D" w14:textId="77777777" w:rsidR="008866AF" w:rsidRDefault="008866AF" w:rsidP="008866AF"/>
    <w:p w14:paraId="499033B9"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12. Challenging the Myth of a Caring Constitution: Reflection from Crip Hermeneutics of Suspicion</w:t>
      </w:r>
    </w:p>
    <w:p w14:paraId="3C1D2A62" w14:textId="77777777" w:rsidR="008866AF" w:rsidRDefault="008866AF" w:rsidP="008866AF">
      <w:pPr>
        <w:spacing w:after="0" w:line="240" w:lineRule="auto"/>
        <w:jc w:val="center"/>
        <w:rPr>
          <w:rFonts w:ascii="Calibri" w:eastAsia="Calibri" w:hAnsi="Calibri" w:cs="Calibri"/>
          <w:b/>
          <w:bCs/>
          <w:sz w:val="24"/>
          <w:szCs w:val="24"/>
        </w:rPr>
      </w:pPr>
    </w:p>
    <w:p w14:paraId="45EFB3D7" w14:textId="77777777" w:rsidR="008866AF" w:rsidRDefault="008866AF" w:rsidP="008866AF">
      <w:pPr>
        <w:spacing w:after="0" w:line="240" w:lineRule="auto"/>
      </w:pPr>
      <w:r>
        <w:rPr>
          <w:rFonts w:ascii="Calibri" w:eastAsia="Calibri" w:hAnsi="Calibri" w:cs="Calibri"/>
          <w:b/>
          <w:bCs/>
          <w:sz w:val="24"/>
          <w:szCs w:val="24"/>
        </w:rPr>
        <w:t>Vijay Kishor Tiwari,</w:t>
      </w:r>
      <w:r>
        <w:rPr>
          <w:rFonts w:ascii="Calibri" w:eastAsia="Calibri" w:hAnsi="Calibri" w:cs="Calibri"/>
          <w:sz w:val="24"/>
          <w:szCs w:val="24"/>
        </w:rPr>
        <w:t xml:space="preserve"> Assistant Professor (Law), The West Bengal National University of Juridical Sciences. Email: </w:t>
      </w:r>
      <w:hyperlink r:id="rId28">
        <w:r>
          <w:rPr>
            <w:rFonts w:ascii="Calibri" w:eastAsia="Calibri" w:hAnsi="Calibri" w:cs="Calibri"/>
            <w:color w:val="1155CC"/>
            <w:sz w:val="24"/>
            <w:szCs w:val="24"/>
            <w:u w:val="single"/>
          </w:rPr>
          <w:t>vijay.kishor85@gmail.com</w:t>
        </w:r>
      </w:hyperlink>
    </w:p>
    <w:p w14:paraId="17D30877" w14:textId="77777777" w:rsidR="008866AF" w:rsidRDefault="008866AF" w:rsidP="008866AF">
      <w:pPr>
        <w:spacing w:after="0" w:line="240" w:lineRule="auto"/>
        <w:ind w:left="720"/>
        <w:jc w:val="center"/>
      </w:pPr>
    </w:p>
    <w:p w14:paraId="15F86A0A" w14:textId="77777777" w:rsidR="008866AF" w:rsidRDefault="008866AF" w:rsidP="008866AF"/>
    <w:p w14:paraId="7608CCEF" w14:textId="77777777" w:rsidR="008866AF" w:rsidRDefault="008866AF" w:rsidP="008866AF">
      <w:pPr>
        <w:jc w:val="both"/>
      </w:pPr>
      <w:r w:rsidRPr="0027586A">
        <w:rPr>
          <w:sz w:val="24"/>
          <w:szCs w:val="24"/>
        </w:rPr>
        <w:t xml:space="preserve">The liberal reading of the Indian Constitution presents it as an inclusive document.  The former Chief Justice of India, Justice DY Chandrachud, who has been celebrated for his disability-affirmative judgments, calls the Indian Constitution a feminist document. Taking the Indian Constitution as a feminist document requires us to interrogate the values of the ‘ethic of care’ within the Constitutional framework for various disfranchised groups. Ethics of care becomes crucial for the disabled community as the idea of care and caregiving is extremely pronounced in the disabled person’s life.  What kind of care does the Constitution and its liberal legalism provide to the disabled? Is this care enough? Who is considered worthy of this care and who is not? These questions have not been sufficiently explored, as reading and explaining the constitution have hitherto remained the exclusive domain of able-bodied, liberal male scholars of law. The critical reading of the Constitution from the crip positionality is at the margins and has been attempted only through the lens of a Whiggish reading of some court victories on the question of disability rights. This chapter attempts to problematize the liberal hegemonic consensus on the Indian Constitution as an inclusive and caring constitution by deploying a hermeneutics of suspicion from a crip vantage, and brings the testimonial erasure and hermeneutical </w:t>
      </w:r>
      <w:proofErr w:type="spellStart"/>
      <w:r w:rsidRPr="0027586A">
        <w:rPr>
          <w:sz w:val="24"/>
          <w:szCs w:val="24"/>
        </w:rPr>
        <w:t>marginalisation</w:t>
      </w:r>
      <w:proofErr w:type="spellEnd"/>
      <w:r w:rsidRPr="0027586A">
        <w:rPr>
          <w:sz w:val="24"/>
          <w:szCs w:val="24"/>
        </w:rPr>
        <w:t xml:space="preserve"> of the disabled within the oeuvre of the Constitution to a sharper focus. Furthermore, it challenges the liberal legalistic narrative about court victories pertaining to disability rights, as these victories merely get some accommodation for the disabled who can fit into the able-nationalist narrative of the Indian state, while simultaneously these victories are used by the courts and the Indian state to mask the extreme debilitation of other disabled/ debilitated bodies who remain as the constitutional borderland.</w:t>
      </w:r>
      <w:r>
        <w:br w:type="page"/>
      </w:r>
    </w:p>
    <w:p w14:paraId="4AAADBB8" w14:textId="77777777" w:rsidR="008866AF" w:rsidRDefault="008866AF" w:rsidP="008866AF"/>
    <w:p w14:paraId="17BBF518"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13. The Politics of Silence: Foucauldian Discursive Analytics as Methodology for Challenging Ableist Knowledge Structures</w:t>
      </w:r>
    </w:p>
    <w:p w14:paraId="20B645A1" w14:textId="77777777" w:rsidR="008866AF" w:rsidRDefault="008866AF" w:rsidP="008866AF">
      <w:pPr>
        <w:spacing w:after="0" w:line="240" w:lineRule="auto"/>
        <w:ind w:left="720"/>
        <w:jc w:val="center"/>
        <w:rPr>
          <w:rFonts w:ascii="Calibri" w:eastAsia="Calibri" w:hAnsi="Calibri" w:cs="Calibri"/>
          <w:b/>
          <w:bCs/>
          <w:sz w:val="24"/>
          <w:szCs w:val="24"/>
        </w:rPr>
      </w:pPr>
    </w:p>
    <w:p w14:paraId="0B99F5E7" w14:textId="77777777" w:rsidR="008866AF" w:rsidRPr="0027586A"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Neelaksh</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Pithauria</w:t>
      </w:r>
      <w:proofErr w:type="spellEnd"/>
      <w:r>
        <w:rPr>
          <w:rFonts w:ascii="Calibri" w:eastAsia="Calibri" w:hAnsi="Calibri" w:cs="Calibri"/>
          <w:b/>
          <w:bCs/>
          <w:sz w:val="24"/>
          <w:szCs w:val="24"/>
        </w:rPr>
        <w:t xml:space="preserve">, </w:t>
      </w:r>
      <w:r>
        <w:rPr>
          <w:rFonts w:ascii="Calibri" w:eastAsia="Calibri" w:hAnsi="Calibri" w:cs="Calibri"/>
          <w:sz w:val="24"/>
          <w:szCs w:val="24"/>
        </w:rPr>
        <w:t xml:space="preserve">Independent Scholar. Email: </w:t>
      </w:r>
      <w:hyperlink r:id="rId29">
        <w:r>
          <w:rPr>
            <w:rFonts w:ascii="Calibri" w:eastAsia="Calibri" w:hAnsi="Calibri" w:cs="Calibri"/>
            <w:color w:val="1155CC"/>
            <w:sz w:val="24"/>
            <w:szCs w:val="24"/>
            <w:u w:val="single"/>
          </w:rPr>
          <w:t>neel009.socio.bhu@gmail.com</w:t>
        </w:r>
      </w:hyperlink>
    </w:p>
    <w:p w14:paraId="2C7B4C2D" w14:textId="77777777" w:rsidR="008866AF" w:rsidRDefault="008866AF" w:rsidP="008866AF">
      <w:pPr>
        <w:spacing w:after="0" w:line="240" w:lineRule="auto"/>
        <w:ind w:left="720"/>
        <w:jc w:val="center"/>
      </w:pPr>
    </w:p>
    <w:p w14:paraId="1126291A" w14:textId="77777777" w:rsidR="008866AF" w:rsidRDefault="008866AF" w:rsidP="008866AF">
      <w:pPr>
        <w:jc w:val="both"/>
        <w:rPr>
          <w:sz w:val="24"/>
          <w:szCs w:val="24"/>
        </w:rPr>
      </w:pPr>
    </w:p>
    <w:p w14:paraId="00037A41" w14:textId="77777777" w:rsidR="008866AF" w:rsidRPr="0027586A" w:rsidRDefault="008866AF" w:rsidP="008866AF">
      <w:pPr>
        <w:jc w:val="both"/>
        <w:rPr>
          <w:sz w:val="24"/>
          <w:szCs w:val="24"/>
        </w:rPr>
      </w:pPr>
      <w:r w:rsidRPr="0027586A">
        <w:rPr>
          <w:sz w:val="24"/>
          <w:szCs w:val="24"/>
        </w:rPr>
        <w:t>This paper discusses how disability is missing from mainstream activism scholarship, and why this silence is not just a simple gap but a structural problem. When we read canonical books on social movements and non-violent resistance, disability is almost never mentioned. The activist is imagined as someone who can march for hours, face police, or go to jail – all actions that assume able bodies. This silence is what Michel Foucault calls “productive silence”. It actively shapes what we can think about who belongs in protest and what counts as real activism.</w:t>
      </w:r>
    </w:p>
    <w:p w14:paraId="2075BEBF" w14:textId="77777777" w:rsidR="008866AF" w:rsidRPr="0027586A" w:rsidRDefault="008866AF" w:rsidP="008866AF">
      <w:pPr>
        <w:jc w:val="both"/>
        <w:rPr>
          <w:sz w:val="24"/>
          <w:szCs w:val="24"/>
        </w:rPr>
      </w:pPr>
      <w:r w:rsidRPr="0027586A">
        <w:rPr>
          <w:sz w:val="24"/>
          <w:szCs w:val="24"/>
        </w:rPr>
        <w:t>The main aim of this paper is to show that Foucauldian discursive analytics – especially as developed by Linda J. Graham – gives disability researchers a powerful methodology to expose and challenge these ableist knowledge structures. This methodology combines conceptual content analysis with careful Foucauldian reading of statements, positivity, and dividing practices. It helps us see not only what is said but also what is not said, and how these absences produce an epistemological world where disabled people are unthinkable as central agents.</w:t>
      </w:r>
    </w:p>
    <w:p w14:paraId="60236287" w14:textId="77777777" w:rsidR="008866AF" w:rsidRPr="0027586A" w:rsidRDefault="008866AF" w:rsidP="008866AF">
      <w:pPr>
        <w:jc w:val="both"/>
        <w:rPr>
          <w:sz w:val="24"/>
          <w:szCs w:val="24"/>
        </w:rPr>
      </w:pPr>
      <w:r w:rsidRPr="0027586A">
        <w:rPr>
          <w:sz w:val="24"/>
          <w:szCs w:val="24"/>
        </w:rPr>
        <w:t xml:space="preserve">The paper explains key Foucauldian concepts like power/knowledge, statement, positivity, and dividing practices in practical terms. It shows how disability researchers can use these tools to </w:t>
      </w:r>
      <w:proofErr w:type="spellStart"/>
      <w:r w:rsidRPr="0027586A">
        <w:rPr>
          <w:sz w:val="24"/>
          <w:szCs w:val="24"/>
        </w:rPr>
        <w:t>analyse</w:t>
      </w:r>
      <w:proofErr w:type="spellEnd"/>
      <w:r w:rsidRPr="0027586A">
        <w:rPr>
          <w:sz w:val="24"/>
          <w:szCs w:val="24"/>
        </w:rPr>
        <w:t xml:space="preserve"> other (academic) discourses and reveal their hidden ableist assumptions. The paper also discusses the work of Linda J. Graham, who translates Foucault’s philosophy into concrete research strategies without making them too rigid.</w:t>
      </w:r>
    </w:p>
    <w:p w14:paraId="4887C519" w14:textId="77777777" w:rsidR="008866AF" w:rsidRDefault="008866AF" w:rsidP="008866AF">
      <w:pPr>
        <w:jc w:val="both"/>
      </w:pPr>
      <w:r w:rsidRPr="0027586A">
        <w:rPr>
          <w:sz w:val="24"/>
          <w:szCs w:val="24"/>
        </w:rPr>
        <w:t xml:space="preserve">How we </w:t>
      </w:r>
      <w:proofErr w:type="spellStart"/>
      <w:r w:rsidRPr="0027586A">
        <w:rPr>
          <w:sz w:val="24"/>
          <w:szCs w:val="24"/>
        </w:rPr>
        <w:t>theorise</w:t>
      </w:r>
      <w:proofErr w:type="spellEnd"/>
      <w:r w:rsidRPr="0027586A">
        <w:rPr>
          <w:sz w:val="24"/>
          <w:szCs w:val="24"/>
        </w:rPr>
        <w:t xml:space="preserve"> activism shapes how protests are </w:t>
      </w:r>
      <w:proofErr w:type="spellStart"/>
      <w:r w:rsidRPr="0027586A">
        <w:rPr>
          <w:sz w:val="24"/>
          <w:szCs w:val="24"/>
        </w:rPr>
        <w:t>organised</w:t>
      </w:r>
      <w:proofErr w:type="spellEnd"/>
      <w:r w:rsidRPr="0027586A">
        <w:rPr>
          <w:sz w:val="24"/>
          <w:szCs w:val="24"/>
        </w:rPr>
        <w:t>, whose bodies are expected to perform, and which tactics are valued. Challenging ableist knowledge structures through Foucauldian methodology is therefore a form of political resistance and a step toward more inclusive disability futures.</w:t>
      </w:r>
      <w:r>
        <w:br w:type="page"/>
      </w:r>
    </w:p>
    <w:p w14:paraId="1BA12F65" w14:textId="77777777" w:rsidR="008866AF" w:rsidRDefault="008866AF" w:rsidP="008866AF">
      <w:pPr>
        <w:pStyle w:val="Heading1"/>
      </w:pPr>
      <w:r>
        <w:lastRenderedPageBreak/>
        <w:t>Panel 6A: Access, Art, and Inclusion</w:t>
      </w:r>
    </w:p>
    <w:p w14:paraId="11A3EAF8" w14:textId="77777777" w:rsidR="008866AF" w:rsidRDefault="008866AF" w:rsidP="008866AF"/>
    <w:p w14:paraId="5879E530"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14. Access beyond accessibility: The story of curating an inclusive art exhibition in India</w:t>
      </w:r>
    </w:p>
    <w:p w14:paraId="575A4C03" w14:textId="77777777" w:rsidR="008866AF" w:rsidRDefault="008866AF" w:rsidP="008866AF">
      <w:pPr>
        <w:spacing w:after="0" w:line="240" w:lineRule="auto"/>
        <w:jc w:val="center"/>
        <w:rPr>
          <w:rFonts w:ascii="Calibri" w:eastAsia="Calibri" w:hAnsi="Calibri" w:cs="Calibri"/>
          <w:b/>
          <w:bCs/>
          <w:sz w:val="24"/>
          <w:szCs w:val="24"/>
        </w:rPr>
      </w:pPr>
    </w:p>
    <w:p w14:paraId="3E22E64F"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Shubha Ranganathan,</w:t>
      </w:r>
      <w:r>
        <w:rPr>
          <w:rFonts w:ascii="Calibri" w:eastAsia="Calibri" w:hAnsi="Calibri" w:cs="Calibri"/>
          <w:sz w:val="24"/>
          <w:szCs w:val="24"/>
        </w:rPr>
        <w:t xml:space="preserve"> Associate Professor, Department of Liberal Arts, Indian Institute of Technology Hyderabad. Email: </w:t>
      </w:r>
      <w:hyperlink r:id="rId30">
        <w:r>
          <w:rPr>
            <w:rFonts w:ascii="Calibri" w:eastAsia="Calibri" w:hAnsi="Calibri" w:cs="Calibri"/>
            <w:color w:val="1155CC"/>
            <w:sz w:val="24"/>
            <w:szCs w:val="24"/>
            <w:u w:val="single"/>
          </w:rPr>
          <w:t>shubha@la.iith.ac.in</w:t>
        </w:r>
      </w:hyperlink>
    </w:p>
    <w:p w14:paraId="5BEA28A8" w14:textId="77777777" w:rsidR="008866AF" w:rsidRDefault="008866AF" w:rsidP="008866AF">
      <w:pPr>
        <w:spacing w:after="0" w:line="240" w:lineRule="auto"/>
        <w:ind w:left="720"/>
        <w:jc w:val="center"/>
        <w:rPr>
          <w:rFonts w:ascii="Calibri" w:eastAsia="Calibri" w:hAnsi="Calibri" w:cs="Calibri"/>
          <w:b/>
          <w:bCs/>
          <w:sz w:val="24"/>
          <w:szCs w:val="24"/>
        </w:rPr>
      </w:pPr>
    </w:p>
    <w:p w14:paraId="4126AB91" w14:textId="77777777" w:rsidR="008866AF" w:rsidRDefault="008866AF" w:rsidP="008866AF">
      <w:pPr>
        <w:jc w:val="both"/>
        <w:rPr>
          <w:sz w:val="24"/>
          <w:szCs w:val="24"/>
        </w:rPr>
      </w:pPr>
    </w:p>
    <w:p w14:paraId="0390C128" w14:textId="77777777" w:rsidR="008866AF" w:rsidRDefault="008866AF" w:rsidP="008866AF">
      <w:pPr>
        <w:jc w:val="both"/>
      </w:pPr>
      <w:r w:rsidRPr="0027586A">
        <w:rPr>
          <w:sz w:val="24"/>
          <w:szCs w:val="24"/>
        </w:rPr>
        <w:t xml:space="preserve">This paper describes the story of curating an accessible art exhibition in February 2025. I describe the process of conceptualizing and executing the exhibition, in terms of thinking about the terms ‘inclusive’ and ‘accessible’. Our aim was to curate an exhibition that did more than just acquire artworks and hang them up on the walls. We began to wonder: what does it mean to put together an ‘inclusive art exhibition’? What are the mechanics of enabling ‘access’ at all levels? And how can inclusivity be built into art spaces from the beginning? Building from Amanda Cachia’s (2023) point about the need for thinking about access as an integral aspect of art spaces and exhibition, and not just an added feature that is ‘tacked on’ at the end, and drawing inspiration from </w:t>
      </w:r>
      <w:proofErr w:type="spellStart"/>
      <w:r w:rsidRPr="0027586A">
        <w:rPr>
          <w:sz w:val="24"/>
          <w:szCs w:val="24"/>
        </w:rPr>
        <w:t>Arseli</w:t>
      </w:r>
      <w:proofErr w:type="spellEnd"/>
      <w:r w:rsidRPr="0027586A">
        <w:rPr>
          <w:sz w:val="24"/>
          <w:szCs w:val="24"/>
        </w:rPr>
        <w:t xml:space="preserve"> </w:t>
      </w:r>
      <w:proofErr w:type="spellStart"/>
      <w:r w:rsidRPr="0027586A">
        <w:rPr>
          <w:sz w:val="24"/>
          <w:szCs w:val="24"/>
        </w:rPr>
        <w:t>Dokumaci’s</w:t>
      </w:r>
      <w:proofErr w:type="spellEnd"/>
      <w:r w:rsidRPr="0027586A">
        <w:rPr>
          <w:sz w:val="24"/>
          <w:szCs w:val="24"/>
        </w:rPr>
        <w:t xml:space="preserve"> (2018) illustration of how disability can be approached as method, I decided to learn about access and inclusion through the practical process of making – or at least, attempting to make – them happen. Our </w:t>
      </w:r>
      <w:proofErr w:type="spellStart"/>
      <w:r w:rsidRPr="0027586A">
        <w:rPr>
          <w:sz w:val="24"/>
          <w:szCs w:val="24"/>
        </w:rPr>
        <w:t>endeavour</w:t>
      </w:r>
      <w:proofErr w:type="spellEnd"/>
      <w:r w:rsidRPr="0027586A">
        <w:rPr>
          <w:sz w:val="24"/>
          <w:szCs w:val="24"/>
        </w:rPr>
        <w:t xml:space="preserve"> was to treat(s) access as an open-ended process, a negotiation, and an intersectional and multimodal issue, rather than an easily achievable end point (</w:t>
      </w:r>
      <w:proofErr w:type="spellStart"/>
      <w:r w:rsidRPr="0027586A">
        <w:rPr>
          <w:sz w:val="24"/>
          <w:szCs w:val="24"/>
        </w:rPr>
        <w:t>Hamraie</w:t>
      </w:r>
      <w:proofErr w:type="spellEnd"/>
      <w:r w:rsidRPr="0027586A">
        <w:rPr>
          <w:sz w:val="24"/>
          <w:szCs w:val="24"/>
        </w:rPr>
        <w:t>, 2021, p. 456).</w:t>
      </w:r>
      <w:r>
        <w:br w:type="page"/>
      </w:r>
    </w:p>
    <w:p w14:paraId="634EC916" w14:textId="77777777" w:rsidR="008866AF" w:rsidRDefault="008866AF" w:rsidP="008866AF"/>
    <w:p w14:paraId="60853B9D"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15. Playback Theatre as a Participatory Approach to Disability Awareness</w:t>
      </w:r>
    </w:p>
    <w:p w14:paraId="724CE214" w14:textId="77777777" w:rsidR="008866AF" w:rsidRDefault="008866AF" w:rsidP="008866AF">
      <w:pPr>
        <w:spacing w:after="0" w:line="240" w:lineRule="auto"/>
        <w:jc w:val="center"/>
        <w:rPr>
          <w:rFonts w:ascii="Calibri" w:eastAsia="Calibri" w:hAnsi="Calibri" w:cs="Calibri"/>
          <w:b/>
          <w:bCs/>
          <w:sz w:val="24"/>
          <w:szCs w:val="24"/>
        </w:rPr>
      </w:pPr>
    </w:p>
    <w:p w14:paraId="0A8A16A0"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Dr. Radhika Jain,</w:t>
      </w:r>
      <w:r>
        <w:rPr>
          <w:rFonts w:ascii="Calibri" w:eastAsia="Calibri" w:hAnsi="Calibri" w:cs="Calibri"/>
          <w:sz w:val="24"/>
          <w:szCs w:val="24"/>
        </w:rPr>
        <w:t xml:space="preserve"> Co-Founder and Director, First Drop Change Foundation.  Email: </w:t>
      </w:r>
      <w:hyperlink r:id="rId31">
        <w:r>
          <w:rPr>
            <w:rFonts w:ascii="Calibri" w:eastAsia="Calibri" w:hAnsi="Calibri" w:cs="Calibri"/>
            <w:color w:val="1155CC"/>
            <w:sz w:val="24"/>
            <w:szCs w:val="24"/>
            <w:u w:val="single"/>
          </w:rPr>
          <w:t>radhika.jain@apu.edu.in</w:t>
        </w:r>
      </w:hyperlink>
    </w:p>
    <w:p w14:paraId="6E92A741" w14:textId="77777777" w:rsidR="008866AF" w:rsidRDefault="008866AF" w:rsidP="008866AF">
      <w:pPr>
        <w:spacing w:after="0" w:line="240" w:lineRule="auto"/>
        <w:ind w:left="720"/>
        <w:jc w:val="center"/>
        <w:rPr>
          <w:rFonts w:ascii="Calibri" w:eastAsia="Calibri" w:hAnsi="Calibri" w:cs="Calibri"/>
          <w:b/>
          <w:bCs/>
          <w:sz w:val="24"/>
          <w:szCs w:val="24"/>
        </w:rPr>
      </w:pPr>
    </w:p>
    <w:p w14:paraId="0B274C1F"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Bejoy Balagopal, </w:t>
      </w:r>
      <w:r>
        <w:rPr>
          <w:rFonts w:ascii="Calibri" w:eastAsia="Calibri" w:hAnsi="Calibri" w:cs="Calibri"/>
          <w:sz w:val="24"/>
          <w:szCs w:val="24"/>
        </w:rPr>
        <w:t xml:space="preserve">Co-Director And Director, First Drop Change Foundation. </w:t>
      </w:r>
    </w:p>
    <w:p w14:paraId="7D9FFD20" w14:textId="77777777" w:rsidR="008866AF" w:rsidRDefault="008866AF" w:rsidP="008866AF">
      <w:pPr>
        <w:spacing w:after="0" w:line="240" w:lineRule="auto"/>
        <w:ind w:left="720"/>
        <w:jc w:val="center"/>
        <w:rPr>
          <w:rFonts w:ascii="Calibri" w:eastAsia="Calibri" w:hAnsi="Calibri" w:cs="Calibri"/>
          <w:b/>
          <w:bCs/>
          <w:sz w:val="24"/>
          <w:szCs w:val="24"/>
        </w:rPr>
      </w:pPr>
    </w:p>
    <w:p w14:paraId="7DBEB9D8"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Umashankar Veeravalli, </w:t>
      </w:r>
      <w:r>
        <w:rPr>
          <w:rFonts w:ascii="Calibri" w:eastAsia="Calibri" w:hAnsi="Calibri" w:cs="Calibri"/>
          <w:sz w:val="24"/>
          <w:szCs w:val="24"/>
        </w:rPr>
        <w:t xml:space="preserve">Communication Professional,  First Drop Change Foundation. </w:t>
      </w:r>
    </w:p>
    <w:p w14:paraId="18EC922D" w14:textId="77777777" w:rsidR="008866AF" w:rsidRDefault="008866AF" w:rsidP="008866AF">
      <w:pPr>
        <w:spacing w:after="0" w:line="240" w:lineRule="auto"/>
        <w:ind w:left="720"/>
        <w:jc w:val="center"/>
        <w:rPr>
          <w:rFonts w:ascii="Calibri" w:eastAsia="Calibri" w:hAnsi="Calibri" w:cs="Calibri"/>
          <w:sz w:val="24"/>
          <w:szCs w:val="24"/>
        </w:rPr>
      </w:pPr>
    </w:p>
    <w:p w14:paraId="46B081D1" w14:textId="77777777" w:rsidR="008866AF" w:rsidRDefault="008866AF" w:rsidP="008866AF"/>
    <w:p w14:paraId="7C7114FA" w14:textId="77777777" w:rsidR="008866AF" w:rsidRPr="00593E77" w:rsidRDefault="008866AF" w:rsidP="008866AF">
      <w:pPr>
        <w:jc w:val="both"/>
        <w:rPr>
          <w:sz w:val="24"/>
          <w:szCs w:val="24"/>
        </w:rPr>
      </w:pPr>
      <w:r w:rsidRPr="00593E77">
        <w:rPr>
          <w:sz w:val="24"/>
          <w:szCs w:val="24"/>
        </w:rPr>
        <w:t xml:space="preserve">Building meaningful disability awareness requires spaces where lived experiences can be heard, witnessed, and collectively reflected upon. Playback Theatre, an improvisational performance form based on audience storytelling and ensemble re-enactment, offers a participatory approach that enables such engagement. This paper examines how Playback Theatre has been used as an arts-based method to deepen disability awareness across community and </w:t>
      </w:r>
      <w:proofErr w:type="spellStart"/>
      <w:r w:rsidRPr="00593E77">
        <w:rPr>
          <w:sz w:val="24"/>
          <w:szCs w:val="24"/>
        </w:rPr>
        <w:t>organisational</w:t>
      </w:r>
      <w:proofErr w:type="spellEnd"/>
      <w:r w:rsidRPr="00593E77">
        <w:rPr>
          <w:sz w:val="24"/>
          <w:szCs w:val="24"/>
        </w:rPr>
        <w:t xml:space="preserve"> contexts.</w:t>
      </w:r>
    </w:p>
    <w:p w14:paraId="193EA3CC" w14:textId="77777777" w:rsidR="008866AF" w:rsidRPr="00593E77" w:rsidRDefault="008866AF" w:rsidP="008866AF">
      <w:pPr>
        <w:jc w:val="both"/>
        <w:rPr>
          <w:sz w:val="24"/>
          <w:szCs w:val="24"/>
        </w:rPr>
      </w:pPr>
      <w:r w:rsidRPr="00593E77">
        <w:rPr>
          <w:sz w:val="24"/>
          <w:szCs w:val="24"/>
        </w:rPr>
        <w:t>Drawing on practice-based projects conducted in the Indian subcontinent, the paper explores how Playback Theatre performances create inclusive storytelling spaces where experiences of disability, often overlooked, misunderstood, or silenced, can be shared and embodied. Through the process of telling, witnessing, and re-enacting real-life stories, participants encounter diverse disability experiences not as abstract issues but as lived realities. This process supports emotional engagement, reflection, and dialogue, helping audiences move beyond awareness as information toward awareness as relational understanding.</w:t>
      </w:r>
    </w:p>
    <w:p w14:paraId="131E8F05" w14:textId="77777777" w:rsidR="008866AF" w:rsidRPr="00593E77" w:rsidRDefault="008866AF" w:rsidP="008866AF">
      <w:pPr>
        <w:jc w:val="both"/>
        <w:rPr>
          <w:sz w:val="24"/>
          <w:szCs w:val="24"/>
        </w:rPr>
      </w:pPr>
      <w:r w:rsidRPr="00593E77">
        <w:rPr>
          <w:sz w:val="24"/>
          <w:szCs w:val="24"/>
        </w:rPr>
        <w:t>The paper discusses facilitation practices, ensemble preparation, and audience engagement that support ethical representation and accessibility within Playback Theatre processes. It argues that participatory performance can play a significant role in strengthening disability awareness by creating environments where empathy, listening, and collective reflection become central modes of learning, thereby contributing to more informed and responsive community engagement.</w:t>
      </w:r>
    </w:p>
    <w:p w14:paraId="1661785A" w14:textId="77777777" w:rsidR="008866AF" w:rsidRPr="00593E77" w:rsidRDefault="008866AF" w:rsidP="008866AF">
      <w:pPr>
        <w:jc w:val="both"/>
        <w:rPr>
          <w:sz w:val="24"/>
          <w:szCs w:val="24"/>
        </w:rPr>
      </w:pPr>
      <w:r w:rsidRPr="00593E77">
        <w:rPr>
          <w:b/>
          <w:bCs/>
          <w:sz w:val="24"/>
          <w:szCs w:val="24"/>
        </w:rPr>
        <w:t xml:space="preserve">Keywords: </w:t>
      </w:r>
      <w:r w:rsidRPr="00593E77">
        <w:rPr>
          <w:sz w:val="24"/>
          <w:szCs w:val="24"/>
        </w:rPr>
        <w:t>Playback Theatre, Disability Awareness, Inclusion</w:t>
      </w:r>
    </w:p>
    <w:p w14:paraId="3452DDC0" w14:textId="77777777" w:rsidR="008866AF" w:rsidRDefault="008866AF" w:rsidP="008866AF">
      <w:pPr>
        <w:pStyle w:val="Heading1"/>
      </w:pPr>
      <w:r>
        <w:br w:type="page"/>
      </w:r>
    </w:p>
    <w:p w14:paraId="6A11EC68" w14:textId="77777777" w:rsidR="008866AF" w:rsidRDefault="008866AF" w:rsidP="008866AF">
      <w:pPr>
        <w:pStyle w:val="Heading1"/>
      </w:pPr>
      <w:r>
        <w:lastRenderedPageBreak/>
        <w:t>Panel 6B: Accessibility, Technology, and Pedagogy</w:t>
      </w:r>
    </w:p>
    <w:p w14:paraId="4CA753EE" w14:textId="77777777" w:rsidR="008866AF" w:rsidRDefault="008866AF" w:rsidP="008866AF">
      <w:pPr>
        <w:jc w:val="center"/>
        <w:rPr>
          <w:b/>
          <w:bCs/>
        </w:rPr>
      </w:pPr>
    </w:p>
    <w:p w14:paraId="4A4BBEDB"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16. Re/imagining Deaf </w:t>
      </w:r>
      <w:proofErr w:type="spellStart"/>
      <w:r>
        <w:rPr>
          <w:rFonts w:ascii="Calibri" w:eastAsia="Calibri" w:hAnsi="Calibri" w:cs="Calibri"/>
          <w:b/>
          <w:bCs/>
          <w:sz w:val="24"/>
          <w:szCs w:val="24"/>
        </w:rPr>
        <w:t>CripTechno</w:t>
      </w:r>
      <w:proofErr w:type="spellEnd"/>
      <w:r>
        <w:rPr>
          <w:rFonts w:ascii="Calibri" w:eastAsia="Calibri" w:hAnsi="Calibri" w:cs="Calibri"/>
          <w:b/>
          <w:bCs/>
          <w:sz w:val="24"/>
          <w:szCs w:val="24"/>
        </w:rPr>
        <w:t>-Futures: From ‘Technologies for Deaf’ to ‘Technologies by/with Deaf’"</w:t>
      </w:r>
    </w:p>
    <w:p w14:paraId="56E5B8E4" w14:textId="77777777" w:rsidR="008866AF" w:rsidRDefault="008866AF" w:rsidP="008866AF">
      <w:pPr>
        <w:spacing w:after="0" w:line="240" w:lineRule="auto"/>
        <w:jc w:val="center"/>
        <w:rPr>
          <w:rFonts w:ascii="Calibri" w:eastAsia="Calibri" w:hAnsi="Calibri" w:cs="Calibri"/>
          <w:b/>
          <w:bCs/>
          <w:sz w:val="24"/>
          <w:szCs w:val="24"/>
        </w:rPr>
      </w:pPr>
    </w:p>
    <w:p w14:paraId="45F2DACB" w14:textId="77777777" w:rsidR="008866AF" w:rsidRPr="00593E77"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Rashmi Malhotra,</w:t>
      </w:r>
      <w:r>
        <w:rPr>
          <w:rFonts w:ascii="Calibri" w:eastAsia="Calibri" w:hAnsi="Calibri" w:cs="Calibri"/>
          <w:sz w:val="24"/>
          <w:szCs w:val="24"/>
        </w:rPr>
        <w:t xml:space="preserve"> Junior Researcher, </w:t>
      </w:r>
      <w:proofErr w:type="spellStart"/>
      <w:r>
        <w:rPr>
          <w:rFonts w:ascii="Calibri" w:eastAsia="Calibri" w:hAnsi="Calibri" w:cs="Calibri"/>
          <w:sz w:val="24"/>
          <w:szCs w:val="24"/>
        </w:rPr>
        <w:t>EnAble</w:t>
      </w:r>
      <w:proofErr w:type="spellEnd"/>
      <w:r>
        <w:rPr>
          <w:rFonts w:ascii="Calibri" w:eastAsia="Calibri" w:hAnsi="Calibri" w:cs="Calibri"/>
          <w:sz w:val="24"/>
          <w:szCs w:val="24"/>
        </w:rPr>
        <w:t xml:space="preserve"> India.  Email: </w:t>
      </w:r>
      <w:hyperlink r:id="rId32">
        <w:r>
          <w:rPr>
            <w:rFonts w:ascii="Calibri" w:eastAsia="Calibri" w:hAnsi="Calibri" w:cs="Calibri"/>
            <w:color w:val="1155CC"/>
            <w:sz w:val="24"/>
            <w:szCs w:val="24"/>
            <w:u w:val="single"/>
          </w:rPr>
          <w:t>rashmimalhotra@enableindia.org</w:t>
        </w:r>
      </w:hyperlink>
      <w:r>
        <w:rPr>
          <w:rFonts w:ascii="Calibri" w:eastAsia="Calibri" w:hAnsi="Calibri" w:cs="Calibri"/>
          <w:sz w:val="24"/>
          <w:szCs w:val="24"/>
        </w:rPr>
        <w:t xml:space="preserve"> </w:t>
      </w:r>
    </w:p>
    <w:p w14:paraId="10C08107" w14:textId="77777777" w:rsidR="008866AF" w:rsidRDefault="008866AF" w:rsidP="008866AF">
      <w:pPr>
        <w:spacing w:after="0" w:line="240" w:lineRule="auto"/>
        <w:ind w:left="720"/>
        <w:jc w:val="center"/>
        <w:rPr>
          <w:rFonts w:ascii="Calibri" w:eastAsia="Calibri" w:hAnsi="Calibri" w:cs="Calibri"/>
          <w:b/>
          <w:bCs/>
          <w:sz w:val="24"/>
          <w:szCs w:val="24"/>
        </w:rPr>
      </w:pPr>
    </w:p>
    <w:p w14:paraId="4422B6DE" w14:textId="77777777" w:rsidR="008866AF" w:rsidRPr="00593E77" w:rsidRDefault="008866AF" w:rsidP="008866AF">
      <w:pPr>
        <w:jc w:val="both"/>
        <w:rPr>
          <w:sz w:val="24"/>
          <w:szCs w:val="24"/>
        </w:rPr>
      </w:pPr>
      <w:r w:rsidRPr="00593E77">
        <w:rPr>
          <w:sz w:val="24"/>
          <w:szCs w:val="24"/>
        </w:rPr>
        <w:t>While AI-driven and automated technologies designed for deaf people are proliferating globally, scholars in Deaf Studies, Critical Disability Studies, and Science and Technology Studies have critiqued many of these developments for being produced outside the communities they claim to serve. These externally-driven technologies often overlook the lived experiences, everyday practices, and intersectional realities of deaf people.</w:t>
      </w:r>
    </w:p>
    <w:p w14:paraId="02CE4DE0" w14:textId="77777777" w:rsidR="008866AF" w:rsidRPr="00593E77" w:rsidRDefault="008866AF" w:rsidP="008866AF">
      <w:pPr>
        <w:jc w:val="both"/>
        <w:rPr>
          <w:sz w:val="24"/>
          <w:szCs w:val="24"/>
        </w:rPr>
      </w:pPr>
      <w:r w:rsidRPr="00593E77">
        <w:rPr>
          <w:sz w:val="24"/>
          <w:szCs w:val="24"/>
        </w:rPr>
        <w:t>Grounded in India's socio-cultural landscape, this working paper examines existing AI and digital technologies designed for deaf people through a combination of qualitative interviews with two deaf individuals and observation analysis of contemporary technologies. Drawing on Deaf Studies, Critical Disability Studies, and Crip-Technoscience, the study develops the concept of "Deaf care" and outlines its three guiding principles for technological design.</w:t>
      </w:r>
    </w:p>
    <w:p w14:paraId="3F8E3B14" w14:textId="77777777" w:rsidR="008866AF" w:rsidRPr="00593E77" w:rsidRDefault="008866AF" w:rsidP="008866AF">
      <w:pPr>
        <w:jc w:val="both"/>
        <w:rPr>
          <w:sz w:val="24"/>
          <w:szCs w:val="24"/>
        </w:rPr>
      </w:pPr>
      <w:r w:rsidRPr="00593E77">
        <w:rPr>
          <w:sz w:val="24"/>
          <w:szCs w:val="24"/>
        </w:rPr>
        <w:t>Through this framework, the study identifies a critical distinction between technologies made ‘for’ deaf people and those developed ‘with or by’ them, demonstrating how current AI-driven systems overwhelmingly reproduce the former. By mobilizing deaf care as an analytical and design-oriented guiding principle, it further explores pathways for transitioning towards more collaborative, responsive, and ethically grounded technological practices beyond mere accessibility. Centering deaf perspectives, lived experiences, and crip expertise, this care-based critique contributes to ongoing debates around AI Technologies and offers possibilities toward genuinely equitable technological futures that serve deaf people beyond mere accessibility.</w:t>
      </w:r>
    </w:p>
    <w:p w14:paraId="4E7D4AA7" w14:textId="77777777" w:rsidR="008866AF" w:rsidRDefault="008866AF" w:rsidP="008866AF">
      <w:pPr>
        <w:jc w:val="both"/>
      </w:pPr>
      <w:r w:rsidRPr="00593E77">
        <w:rPr>
          <w:b/>
          <w:bCs/>
          <w:sz w:val="24"/>
          <w:szCs w:val="24"/>
        </w:rPr>
        <w:t>Keywords:</w:t>
      </w:r>
      <w:r w:rsidRPr="00593E77">
        <w:rPr>
          <w:sz w:val="24"/>
          <w:szCs w:val="24"/>
        </w:rPr>
        <w:t xml:space="preserve"> Deaf Care, AI and Accessibility Technologies, Crip Technoscience, Design and Epistemic Hierarchies</w:t>
      </w:r>
      <w:r>
        <w:br w:type="page"/>
      </w:r>
    </w:p>
    <w:p w14:paraId="37A5D816"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lastRenderedPageBreak/>
        <w:t>17. Hands-On Humanities: Tactile Games as Accessible Pedagogical Tools</w:t>
      </w:r>
    </w:p>
    <w:p w14:paraId="705FA1A6" w14:textId="77777777" w:rsidR="008866AF" w:rsidRDefault="008866AF" w:rsidP="008866AF">
      <w:pPr>
        <w:spacing w:after="0" w:line="240" w:lineRule="auto"/>
        <w:jc w:val="center"/>
        <w:rPr>
          <w:rFonts w:ascii="Calibri" w:eastAsia="Calibri" w:hAnsi="Calibri" w:cs="Calibri"/>
          <w:b/>
          <w:bCs/>
          <w:sz w:val="24"/>
          <w:szCs w:val="24"/>
        </w:rPr>
      </w:pPr>
    </w:p>
    <w:p w14:paraId="1FC95F75" w14:textId="77777777" w:rsidR="008866AF"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Shaswata</w:t>
      </w:r>
      <w:proofErr w:type="spellEnd"/>
      <w:r>
        <w:rPr>
          <w:rFonts w:ascii="Calibri" w:eastAsia="Calibri" w:hAnsi="Calibri" w:cs="Calibri"/>
          <w:b/>
          <w:bCs/>
          <w:sz w:val="24"/>
          <w:szCs w:val="24"/>
        </w:rPr>
        <w:t xml:space="preserve"> Bandyopadhyay, </w:t>
      </w:r>
      <w:r>
        <w:rPr>
          <w:rFonts w:ascii="Calibri" w:eastAsia="Calibri" w:hAnsi="Calibri" w:cs="Calibri"/>
          <w:sz w:val="24"/>
          <w:szCs w:val="24"/>
        </w:rPr>
        <w:t xml:space="preserve">PhD scholar, School of Humanities and Social Sciences, IIT Indore. Email: </w:t>
      </w:r>
      <w:hyperlink r:id="rId33">
        <w:r>
          <w:rPr>
            <w:rFonts w:ascii="Calibri" w:eastAsia="Calibri" w:hAnsi="Calibri" w:cs="Calibri"/>
            <w:color w:val="1155CC"/>
            <w:sz w:val="24"/>
            <w:szCs w:val="24"/>
            <w:u w:val="single"/>
          </w:rPr>
          <w:t>shaswatabandyopadhyay@gmail.com</w:t>
        </w:r>
      </w:hyperlink>
    </w:p>
    <w:p w14:paraId="0B5FD29D" w14:textId="77777777" w:rsidR="008866AF" w:rsidRDefault="008866AF" w:rsidP="008866AF">
      <w:pPr>
        <w:spacing w:after="0" w:line="240" w:lineRule="auto"/>
        <w:rPr>
          <w:rFonts w:ascii="Calibri" w:eastAsia="Calibri" w:hAnsi="Calibri" w:cs="Calibri"/>
          <w:b/>
          <w:bCs/>
          <w:sz w:val="24"/>
          <w:szCs w:val="24"/>
        </w:rPr>
      </w:pPr>
    </w:p>
    <w:p w14:paraId="761F92F8" w14:textId="77777777" w:rsidR="008866AF" w:rsidRPr="002E387C"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Ishan Chakraborty,</w:t>
      </w:r>
      <w:r>
        <w:rPr>
          <w:rFonts w:ascii="Calibri" w:eastAsia="Calibri" w:hAnsi="Calibri" w:cs="Calibri"/>
          <w:sz w:val="24"/>
          <w:szCs w:val="24"/>
        </w:rPr>
        <w:t xml:space="preserve"> Assistant Professor, Department of English, Jadavpur University. Email: </w:t>
      </w:r>
      <w:hyperlink r:id="rId34">
        <w:r>
          <w:rPr>
            <w:rFonts w:ascii="Calibri" w:eastAsia="Calibri" w:hAnsi="Calibri" w:cs="Calibri"/>
            <w:color w:val="1155CC"/>
            <w:sz w:val="24"/>
            <w:szCs w:val="24"/>
            <w:u w:val="single"/>
          </w:rPr>
          <w:t>wrick.ishan@gmail.com</w:t>
        </w:r>
      </w:hyperlink>
    </w:p>
    <w:p w14:paraId="34562E4E" w14:textId="77777777" w:rsidR="008866AF" w:rsidRDefault="008866AF" w:rsidP="008866AF">
      <w:pPr>
        <w:spacing w:after="0" w:line="240" w:lineRule="auto"/>
        <w:ind w:left="720"/>
        <w:jc w:val="center"/>
        <w:rPr>
          <w:rFonts w:ascii="Calibri" w:eastAsia="Calibri" w:hAnsi="Calibri" w:cs="Calibri"/>
          <w:b/>
          <w:bCs/>
          <w:sz w:val="24"/>
          <w:szCs w:val="24"/>
        </w:rPr>
      </w:pPr>
    </w:p>
    <w:p w14:paraId="693B23B3" w14:textId="77777777" w:rsidR="008866AF" w:rsidRPr="002E387C" w:rsidRDefault="008866AF" w:rsidP="008866AF">
      <w:pPr>
        <w:jc w:val="both"/>
        <w:rPr>
          <w:sz w:val="24"/>
          <w:szCs w:val="24"/>
        </w:rPr>
      </w:pPr>
      <w:r w:rsidRPr="002E387C">
        <w:rPr>
          <w:sz w:val="24"/>
          <w:szCs w:val="24"/>
        </w:rPr>
        <w:t xml:space="preserve">This paper examines Crip Lit Cards, a 3D-printed, tactile card game developed at the Department of English, Jadavpur University, and funded by the Global Jadavpur University Alumni Foundation (GJUAF) as a model for reshaping humanities pedagogy through accessible design and multisensory learning. While literary disability studies has long critiqued the canon’s reliance on metaphor and abstraction, classroom practice often remains bound to ocular habits of reading. This project intervenes by reframing the act of learning itself. Through raised textures, bas-relief portraits, Braille inscriptions, and </w:t>
      </w:r>
      <w:proofErr w:type="spellStart"/>
      <w:r w:rsidRPr="002E387C">
        <w:rPr>
          <w:sz w:val="24"/>
          <w:szCs w:val="24"/>
        </w:rPr>
        <w:t>colour</w:t>
      </w:r>
      <w:proofErr w:type="spellEnd"/>
      <w:r w:rsidRPr="002E387C">
        <w:rPr>
          <w:sz w:val="24"/>
          <w:szCs w:val="24"/>
        </w:rPr>
        <w:t xml:space="preserve">-coded categories drawn from disability history, the deck serves as a material teaching tool that invites students to handle, interpret, and </w:t>
      </w:r>
      <w:proofErr w:type="spellStart"/>
      <w:r w:rsidRPr="002E387C">
        <w:rPr>
          <w:sz w:val="24"/>
          <w:szCs w:val="24"/>
        </w:rPr>
        <w:t>reorganise</w:t>
      </w:r>
      <w:proofErr w:type="spellEnd"/>
      <w:r w:rsidRPr="002E387C">
        <w:rPr>
          <w:sz w:val="24"/>
          <w:szCs w:val="24"/>
        </w:rPr>
        <w:t xml:space="preserve"> knowledge rather than passively receive it.</w:t>
      </w:r>
    </w:p>
    <w:p w14:paraId="1CD5812A" w14:textId="77777777" w:rsidR="008866AF" w:rsidRPr="002E387C" w:rsidRDefault="008866AF" w:rsidP="008866AF">
      <w:pPr>
        <w:jc w:val="both"/>
        <w:rPr>
          <w:sz w:val="24"/>
          <w:szCs w:val="24"/>
        </w:rPr>
      </w:pPr>
      <w:r w:rsidRPr="002E387C">
        <w:rPr>
          <w:sz w:val="24"/>
          <w:szCs w:val="24"/>
        </w:rPr>
        <w:t>The paper situates the project within broader conversations on inclusive pedagogy, arguing that tactile and collaborative play can shift how students encounter literary history and disability theory. Drawing on design-based research conducted with both visually disabled and sighted players, the study shows how tactile materials prompt forms of attention, pacing, and interpretation that differ markedly from conventional print-based instruction. Matching cards according to historical period, gender, or type of disability becomes an interpretive act, turning gameplay into a mode of critical inquiry. This approach opens space for what disability scholars have called misfit knowledge, which is learning that emerges from rethinking the relationship between body, medium, and curriculum.</w:t>
      </w:r>
    </w:p>
    <w:p w14:paraId="45C8FAC1" w14:textId="77777777" w:rsidR="008866AF" w:rsidRPr="002E387C" w:rsidRDefault="008866AF" w:rsidP="008866AF">
      <w:pPr>
        <w:jc w:val="both"/>
        <w:rPr>
          <w:sz w:val="24"/>
          <w:szCs w:val="24"/>
        </w:rPr>
      </w:pPr>
      <w:r w:rsidRPr="002E387C">
        <w:rPr>
          <w:sz w:val="24"/>
          <w:szCs w:val="24"/>
        </w:rPr>
        <w:t>By highlighting cooperative play over competition, the game models a classroom ethic grounded in dialogue, shared discovery, and alternative temporalities. The paper argues that such analog tactile systems can complement or even surpass digital accessibility initiatives, particularly in contexts where technological infrastructure is uneven. The project demonstrates that accessible humanities pedagogy can be a generative design principle that shapes how the canon is structured, taught, and experienced.</w:t>
      </w:r>
    </w:p>
    <w:p w14:paraId="4A48976D" w14:textId="77777777" w:rsidR="008866AF" w:rsidRPr="002E387C" w:rsidRDefault="008866AF" w:rsidP="008866AF">
      <w:pPr>
        <w:rPr>
          <w:sz w:val="24"/>
          <w:szCs w:val="24"/>
        </w:rPr>
      </w:pPr>
      <w:r w:rsidRPr="002E387C">
        <w:rPr>
          <w:b/>
          <w:bCs/>
          <w:sz w:val="24"/>
          <w:szCs w:val="24"/>
        </w:rPr>
        <w:t xml:space="preserve">Keywords: </w:t>
      </w:r>
      <w:r w:rsidRPr="002E387C">
        <w:rPr>
          <w:sz w:val="24"/>
          <w:szCs w:val="24"/>
        </w:rPr>
        <w:t>accessible pedagogy, tactile learning, disability studies, game-based learning, material design</w:t>
      </w:r>
    </w:p>
    <w:p w14:paraId="5DE61E37" w14:textId="77777777" w:rsidR="008866AF" w:rsidRDefault="008866AF" w:rsidP="008866AF">
      <w:pPr>
        <w:pStyle w:val="Heading1"/>
      </w:pPr>
      <w:r>
        <w:lastRenderedPageBreak/>
        <w:t>Panel 7: Affective Communities</w:t>
      </w:r>
    </w:p>
    <w:p w14:paraId="60221A37" w14:textId="77777777" w:rsidR="008866AF" w:rsidRDefault="008866AF" w:rsidP="008866AF"/>
    <w:p w14:paraId="1754A1F3"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18. Embodying the Non-Visual Assistive Technologies: Studying the ‘affect’ in the Schools for the Blind</w:t>
      </w:r>
    </w:p>
    <w:p w14:paraId="24D5A552" w14:textId="77777777" w:rsidR="008866AF" w:rsidRDefault="008866AF" w:rsidP="008866AF">
      <w:pPr>
        <w:spacing w:after="0" w:line="240" w:lineRule="auto"/>
        <w:jc w:val="center"/>
        <w:rPr>
          <w:rFonts w:ascii="Calibri" w:eastAsia="Calibri" w:hAnsi="Calibri" w:cs="Calibri"/>
          <w:b/>
          <w:bCs/>
          <w:sz w:val="24"/>
          <w:szCs w:val="24"/>
        </w:rPr>
      </w:pPr>
    </w:p>
    <w:p w14:paraId="3333FD8D" w14:textId="77777777" w:rsidR="008866AF" w:rsidRPr="002E387C"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Satyabrata</w:t>
      </w:r>
      <w:proofErr w:type="spellEnd"/>
      <w:r>
        <w:rPr>
          <w:rFonts w:ascii="Calibri" w:eastAsia="Calibri" w:hAnsi="Calibri" w:cs="Calibri"/>
          <w:b/>
          <w:bCs/>
          <w:sz w:val="24"/>
          <w:szCs w:val="24"/>
        </w:rPr>
        <w:t xml:space="preserve"> Sahoo, </w:t>
      </w:r>
      <w:r>
        <w:rPr>
          <w:rFonts w:ascii="Calibri" w:eastAsia="Calibri" w:hAnsi="Calibri" w:cs="Calibri"/>
          <w:sz w:val="24"/>
          <w:szCs w:val="24"/>
        </w:rPr>
        <w:t xml:space="preserve">PhD Candidate, Department of Anthropology,  Sikkim University. Email: </w:t>
      </w:r>
      <w:hyperlink r:id="rId35">
        <w:r>
          <w:rPr>
            <w:rFonts w:ascii="Calibri" w:eastAsia="Calibri" w:hAnsi="Calibri" w:cs="Calibri"/>
            <w:color w:val="1155CC"/>
            <w:sz w:val="24"/>
            <w:szCs w:val="24"/>
            <w:u w:val="single"/>
          </w:rPr>
          <w:t>satyabitu21@gmail.com</w:t>
        </w:r>
      </w:hyperlink>
    </w:p>
    <w:p w14:paraId="6C92DDFD" w14:textId="77777777" w:rsidR="008866AF" w:rsidRDefault="008866AF" w:rsidP="008866AF">
      <w:pPr>
        <w:spacing w:after="0" w:line="240" w:lineRule="auto"/>
        <w:ind w:left="720"/>
        <w:jc w:val="center"/>
      </w:pPr>
    </w:p>
    <w:p w14:paraId="595B35F5" w14:textId="77777777" w:rsidR="008866AF" w:rsidRDefault="008866AF" w:rsidP="008866AF">
      <w:pPr>
        <w:jc w:val="both"/>
        <w:rPr>
          <w:sz w:val="24"/>
          <w:szCs w:val="24"/>
        </w:rPr>
      </w:pPr>
    </w:p>
    <w:p w14:paraId="1B31EC5F" w14:textId="77777777" w:rsidR="008866AF" w:rsidRDefault="008866AF" w:rsidP="008866AF">
      <w:pPr>
        <w:jc w:val="both"/>
      </w:pPr>
      <w:r w:rsidRPr="002E387C">
        <w:rPr>
          <w:sz w:val="24"/>
          <w:szCs w:val="24"/>
        </w:rPr>
        <w:t>This work examines the idea of embodied practices of technology among the visually impaired students in the Schools for the Blind. It draws on my experience as a visually impaired individual, conducting observations through a quasi-auto-ethnographical approach and drawing from disability studies, the anthropology of technology, science and technology studies, and affect theory to formulate complex arguments. I argue that assistive technologies are not only being used as corrective tools but also function as the extension of the body that radiates its own affect through the performances of repetition, patience, and calmness. This work also critiques visual dominance by suggesting alternate senses beyond vision. Finally, this work shows how knowledge is dominated by vision, which can be sensed through other senses, to organize everyday life.</w:t>
      </w:r>
      <w:r>
        <w:br w:type="page"/>
      </w:r>
    </w:p>
    <w:p w14:paraId="6545AF5B" w14:textId="77777777" w:rsidR="008866AF" w:rsidRDefault="008866AF" w:rsidP="008866AF"/>
    <w:p w14:paraId="3D6534C3"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19. Affective Publics/Affected Publics: Locating Disability in the Novel </w:t>
      </w:r>
      <w:proofErr w:type="spellStart"/>
      <w:r>
        <w:rPr>
          <w:rFonts w:ascii="Calibri" w:eastAsia="Calibri" w:hAnsi="Calibri" w:cs="Calibri"/>
          <w:b/>
          <w:bCs/>
          <w:sz w:val="24"/>
          <w:szCs w:val="24"/>
        </w:rPr>
        <w:t>Enmakaje</w:t>
      </w:r>
      <w:proofErr w:type="spellEnd"/>
    </w:p>
    <w:p w14:paraId="6EA5FC98" w14:textId="77777777" w:rsidR="008866AF" w:rsidRDefault="008866AF" w:rsidP="008866AF">
      <w:pPr>
        <w:spacing w:after="0" w:line="240" w:lineRule="auto"/>
        <w:jc w:val="center"/>
        <w:rPr>
          <w:rFonts w:ascii="Calibri" w:eastAsia="Calibri" w:hAnsi="Calibri" w:cs="Calibri"/>
          <w:b/>
          <w:bCs/>
          <w:sz w:val="24"/>
          <w:szCs w:val="24"/>
        </w:rPr>
      </w:pPr>
    </w:p>
    <w:p w14:paraId="70D858AA"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Nandana R., </w:t>
      </w:r>
      <w:r>
        <w:rPr>
          <w:rFonts w:ascii="Calibri" w:eastAsia="Calibri" w:hAnsi="Calibri" w:cs="Calibri"/>
          <w:sz w:val="24"/>
          <w:szCs w:val="24"/>
        </w:rPr>
        <w:t xml:space="preserve">PhD Scholar, Department of Humanities and Social Sciences, </w:t>
      </w:r>
    </w:p>
    <w:p w14:paraId="36CE5EEE"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sz w:val="24"/>
          <w:szCs w:val="24"/>
        </w:rPr>
        <w:t xml:space="preserve">BITS Pilani Hyderabad. Email: </w:t>
      </w:r>
      <w:hyperlink r:id="rId36">
        <w:r>
          <w:rPr>
            <w:rFonts w:ascii="Calibri" w:eastAsia="Calibri" w:hAnsi="Calibri" w:cs="Calibri"/>
            <w:color w:val="1155CC"/>
            <w:sz w:val="24"/>
            <w:szCs w:val="24"/>
            <w:u w:val="single"/>
          </w:rPr>
          <w:t>p20200034@hyderabad.bits-pilani.ac.in</w:t>
        </w:r>
      </w:hyperlink>
    </w:p>
    <w:p w14:paraId="261C9CF7" w14:textId="77777777" w:rsidR="008866AF" w:rsidRDefault="008866AF" w:rsidP="008866AF">
      <w:pPr>
        <w:spacing w:after="0" w:line="240" w:lineRule="auto"/>
        <w:rPr>
          <w:rFonts w:ascii="Calibri" w:eastAsia="Calibri" w:hAnsi="Calibri" w:cs="Calibri"/>
          <w:b/>
          <w:bCs/>
          <w:sz w:val="24"/>
          <w:szCs w:val="24"/>
        </w:rPr>
      </w:pPr>
    </w:p>
    <w:p w14:paraId="32BE74AA" w14:textId="77777777" w:rsidR="008866AF" w:rsidRDefault="008866AF" w:rsidP="008866AF">
      <w:pPr>
        <w:jc w:val="both"/>
        <w:rPr>
          <w:sz w:val="24"/>
          <w:szCs w:val="24"/>
        </w:rPr>
      </w:pPr>
    </w:p>
    <w:p w14:paraId="4F8E7BCB" w14:textId="77777777" w:rsidR="008866AF" w:rsidRDefault="008866AF" w:rsidP="008866AF">
      <w:pPr>
        <w:jc w:val="both"/>
      </w:pPr>
      <w:r w:rsidRPr="00054D92">
        <w:rPr>
          <w:sz w:val="24"/>
          <w:szCs w:val="24"/>
        </w:rPr>
        <w:t xml:space="preserve">Disability futures are not imagined as separate or detached from the past; instead, they are enabled by critical returns to it. In that sense, reading (sometimes re-reading) a literary text to relocate disability as generative rather than a passive outcome of an environmental disaster is part of disability futures. The current paper examines the Malayalam novel </w:t>
      </w:r>
      <w:proofErr w:type="spellStart"/>
      <w:r w:rsidRPr="00054D92">
        <w:rPr>
          <w:sz w:val="24"/>
          <w:szCs w:val="24"/>
        </w:rPr>
        <w:t>Enmakaj</w:t>
      </w:r>
      <w:proofErr w:type="spellEnd"/>
      <w:r w:rsidRPr="00054D92">
        <w:rPr>
          <w:sz w:val="24"/>
          <w:szCs w:val="24"/>
        </w:rPr>
        <w:t xml:space="preserve">, written after the Kasargod-Endosulfan episode, an instance of pesticide poisoning in the Indian state of Kerala. Within academic scholarship, the texts have been primarily studied through an ecocritical lens, whereas disability is an unfortunate and undesirable outcome of environmental misadventure. However, readers’ ‘emotional’ responses and reviews reflecting guilt and shame they felt while reading, available on digital platforms such as Goodreads, hint at the formation of collective affect within the Malayali reader-public. While attempting to answer the question of ‘what is emotional about the text’, disability-affect emerged as crucial to the production, circulation, and reception of the novel </w:t>
      </w:r>
      <w:proofErr w:type="spellStart"/>
      <w:r w:rsidRPr="00054D92">
        <w:rPr>
          <w:sz w:val="24"/>
          <w:szCs w:val="24"/>
        </w:rPr>
        <w:t>Enmakaje</w:t>
      </w:r>
      <w:proofErr w:type="spellEnd"/>
      <w:r w:rsidRPr="00054D92">
        <w:rPr>
          <w:sz w:val="24"/>
          <w:szCs w:val="24"/>
        </w:rPr>
        <w:t xml:space="preserve"> within Kerala’s reader-public. The current paper attempts to reclaim disability as an active and affective force in forming collectivities through disability-affect, within and outside the novel.</w:t>
      </w:r>
      <w:r>
        <w:br w:type="page"/>
      </w:r>
    </w:p>
    <w:p w14:paraId="282FF303" w14:textId="77777777" w:rsidR="008866AF" w:rsidRDefault="008866AF" w:rsidP="008866AF"/>
    <w:p w14:paraId="528A92E1"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20. Mothering Beyond Sight: Shared Responsibilities and Multisensorial Caregiving Practices Among Visually Impaired Women</w:t>
      </w:r>
    </w:p>
    <w:p w14:paraId="2931A4F2" w14:textId="77777777" w:rsidR="008866AF" w:rsidRDefault="008866AF" w:rsidP="008866AF">
      <w:pPr>
        <w:spacing w:after="0" w:line="240" w:lineRule="auto"/>
        <w:jc w:val="center"/>
        <w:rPr>
          <w:rFonts w:ascii="Calibri" w:eastAsia="Calibri" w:hAnsi="Calibri" w:cs="Calibri"/>
          <w:b/>
          <w:bCs/>
          <w:sz w:val="24"/>
          <w:szCs w:val="24"/>
        </w:rPr>
      </w:pPr>
    </w:p>
    <w:p w14:paraId="70919E45"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Surbhi Nagpal, </w:t>
      </w:r>
      <w:r>
        <w:rPr>
          <w:rFonts w:ascii="Calibri" w:eastAsia="Calibri" w:hAnsi="Calibri" w:cs="Calibri"/>
          <w:sz w:val="24"/>
          <w:szCs w:val="24"/>
        </w:rPr>
        <w:t>PhD Scholar, Jawaharlal Nehru University.</w:t>
      </w:r>
    </w:p>
    <w:p w14:paraId="1D71AC6A" w14:textId="77777777" w:rsidR="008866AF" w:rsidRDefault="008866AF" w:rsidP="008866AF">
      <w:pPr>
        <w:spacing w:after="0" w:line="240" w:lineRule="auto"/>
      </w:pPr>
      <w:r>
        <w:rPr>
          <w:rFonts w:ascii="Calibri" w:eastAsia="Calibri" w:hAnsi="Calibri" w:cs="Calibri"/>
          <w:sz w:val="24"/>
          <w:szCs w:val="24"/>
        </w:rPr>
        <w:t xml:space="preserve">Email: </w:t>
      </w:r>
      <w:hyperlink r:id="rId37">
        <w:r>
          <w:rPr>
            <w:rFonts w:ascii="Calibri" w:eastAsia="Calibri" w:hAnsi="Calibri" w:cs="Calibri"/>
            <w:color w:val="1155CC"/>
            <w:sz w:val="24"/>
            <w:szCs w:val="24"/>
            <w:u w:val="single"/>
          </w:rPr>
          <w:t>surbhinagpal555@gmail.com</w:t>
        </w:r>
      </w:hyperlink>
    </w:p>
    <w:p w14:paraId="2CF00EFD" w14:textId="77777777" w:rsidR="008866AF" w:rsidRDefault="008866AF" w:rsidP="008866AF">
      <w:pPr>
        <w:spacing w:after="0" w:line="240" w:lineRule="auto"/>
        <w:ind w:left="720"/>
        <w:jc w:val="center"/>
      </w:pPr>
    </w:p>
    <w:p w14:paraId="107BC765" w14:textId="77777777" w:rsidR="008866AF" w:rsidRDefault="008866AF" w:rsidP="008866AF">
      <w:pPr>
        <w:jc w:val="both"/>
        <w:rPr>
          <w:sz w:val="24"/>
          <w:szCs w:val="24"/>
        </w:rPr>
      </w:pPr>
    </w:p>
    <w:p w14:paraId="779D2C1B" w14:textId="77777777" w:rsidR="008866AF" w:rsidRDefault="008866AF" w:rsidP="008866AF">
      <w:pPr>
        <w:jc w:val="both"/>
      </w:pPr>
      <w:r w:rsidRPr="00054D92">
        <w:rPr>
          <w:sz w:val="24"/>
          <w:szCs w:val="24"/>
        </w:rPr>
        <w:t>This study aims to explore how visually impaired mothers in urban settings engage in childcare by sharing responsibilities and enacting multisensorial caregiving practices. Based on two in-depth interviews with mothers from Delhi and Mumbai, it explores their pregnancy experiences, interactions with medical professionals, and early childcare routines. Findings show that caregiving tasks are shared across family and support networks, with fathers, extended kin, and friends contributing to different aspects of childcare. Mothers enact multisensorial caregiving practices relying on touch, sound, and spatial organization to respond to their children’s needs. These practices challenge assumptions that vision is essential for maternal competence, showing that motherhood can be enacted through collaboration, creativity, and sensory engagement. By focusing on the lived experiences of these mothers, this study aims to offer a more inclusive perspective on motherhood while opening pathways for future research on caregiving practices in disabled families.</w:t>
      </w:r>
      <w:r>
        <w:br w:type="page"/>
      </w:r>
    </w:p>
    <w:p w14:paraId="63B1ED69" w14:textId="77777777" w:rsidR="008866AF" w:rsidRDefault="008866AF" w:rsidP="008866AF">
      <w:pPr>
        <w:pStyle w:val="Heading1"/>
      </w:pPr>
      <w:r>
        <w:lastRenderedPageBreak/>
        <w:t>Panel 8A: Inclusive Education: Lived Experiences, Practices, and Futures</w:t>
      </w:r>
    </w:p>
    <w:p w14:paraId="3BEDBAAC" w14:textId="77777777" w:rsidR="008866AF" w:rsidRDefault="008866AF" w:rsidP="008866AF"/>
    <w:p w14:paraId="2A1F370C"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21. Becoming, Belonging, and Futures: Lived Experiences of Disability and Inclusive Education - An Autoethnographic Inquiry</w:t>
      </w:r>
    </w:p>
    <w:p w14:paraId="0A8F83AE" w14:textId="77777777" w:rsidR="008866AF" w:rsidRDefault="008866AF" w:rsidP="008866AF">
      <w:pPr>
        <w:spacing w:after="0" w:line="240" w:lineRule="auto"/>
        <w:jc w:val="center"/>
        <w:rPr>
          <w:rFonts w:ascii="Calibri" w:eastAsia="Calibri" w:hAnsi="Calibri" w:cs="Calibri"/>
          <w:b/>
          <w:bCs/>
          <w:sz w:val="24"/>
          <w:szCs w:val="24"/>
        </w:rPr>
      </w:pPr>
    </w:p>
    <w:p w14:paraId="3EBB6627" w14:textId="77777777" w:rsidR="008866AF" w:rsidRPr="00153066"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Titiksha Pradip Rangari, </w:t>
      </w:r>
      <w:r>
        <w:rPr>
          <w:rFonts w:ascii="Calibri" w:eastAsia="Calibri" w:hAnsi="Calibri" w:cs="Calibri"/>
          <w:sz w:val="24"/>
          <w:szCs w:val="24"/>
        </w:rPr>
        <w:t xml:space="preserve">Project Assistant, Eklavya Foundation. Email: </w:t>
      </w:r>
      <w:hyperlink r:id="rId38">
        <w:r>
          <w:rPr>
            <w:rFonts w:ascii="Calibri" w:eastAsia="Calibri" w:hAnsi="Calibri" w:cs="Calibri"/>
            <w:color w:val="1155CC"/>
            <w:sz w:val="24"/>
            <w:szCs w:val="24"/>
            <w:u w:val="single"/>
          </w:rPr>
          <w:t>titiksharangari01@gmail.com</w:t>
        </w:r>
      </w:hyperlink>
    </w:p>
    <w:p w14:paraId="364ACBFF" w14:textId="77777777" w:rsidR="008866AF" w:rsidRDefault="008866AF" w:rsidP="008866AF">
      <w:pPr>
        <w:spacing w:after="0" w:line="240" w:lineRule="auto"/>
        <w:ind w:left="720"/>
        <w:jc w:val="center"/>
      </w:pPr>
    </w:p>
    <w:p w14:paraId="6E80C9B4" w14:textId="77777777" w:rsidR="008866AF" w:rsidRPr="00153066" w:rsidRDefault="008866AF" w:rsidP="008866AF">
      <w:pPr>
        <w:jc w:val="both"/>
        <w:rPr>
          <w:sz w:val="24"/>
          <w:szCs w:val="24"/>
        </w:rPr>
      </w:pPr>
      <w:r w:rsidRPr="00153066">
        <w:rPr>
          <w:sz w:val="24"/>
          <w:szCs w:val="24"/>
        </w:rPr>
        <w:t>This research paper examines lived experience as a site of knowledge production by integrating personal narrative with critical social theory. Using autoethnography, it explores how visual impairment intersects with gender, caste, rurality, language, and educational structures to shape identity, participation, and pedagogical understanding. Moving beyond individual biography, the study situates personal struggle and resilience within broader social, cultural, and political contexts. Drawing on the relational model of disability (Kafer, 2013), intersectionality (Crenshaw, 1989), and theories of debility and structural precarity (Puar, 2017), it argues that disability is not a fixed trait but a socio‑political process of inclusion and exclusion.</w:t>
      </w:r>
    </w:p>
    <w:p w14:paraId="5DC6F6F3" w14:textId="77777777" w:rsidR="008866AF" w:rsidRPr="00153066" w:rsidRDefault="008866AF" w:rsidP="008866AF">
      <w:pPr>
        <w:jc w:val="both"/>
        <w:rPr>
          <w:sz w:val="24"/>
          <w:szCs w:val="24"/>
        </w:rPr>
      </w:pPr>
      <w:r w:rsidRPr="00153066">
        <w:rPr>
          <w:sz w:val="24"/>
          <w:szCs w:val="24"/>
        </w:rPr>
        <w:t>Through reflective narrative analysis, the paper traces experiences of schooling, higher education, professional practice, and community engagement, revealing how structures of power, accessibility, and social norms shape opportunities for participation. Emotional experiences of joy, loss, fear, and belonging are integrated into theoretical reflection to demonstrate the complex interplay between self‑perception and social environment.</w:t>
      </w:r>
    </w:p>
    <w:p w14:paraId="34FCAC28" w14:textId="77777777" w:rsidR="008866AF" w:rsidRPr="00153066" w:rsidRDefault="008866AF" w:rsidP="008866AF">
      <w:pPr>
        <w:jc w:val="both"/>
        <w:rPr>
          <w:sz w:val="24"/>
          <w:szCs w:val="24"/>
        </w:rPr>
      </w:pPr>
      <w:r w:rsidRPr="00153066">
        <w:rPr>
          <w:sz w:val="24"/>
          <w:szCs w:val="24"/>
        </w:rPr>
        <w:t>The study introduces the concept of disability futurity, proposing that disabled scholars and educators can generate new forms of knowledge and pedagogical practices that challenge exclusionary structures and imagine inclusive futures. Findings indicate that autobiographical inquiry, when critically oriented, offers valuable insights into identity formation, social transformation, and pedagogies of inclusion. The work concludes by asserting that personal reflection can illuminate universal patterns of human becoming and collective striving for equity.</w:t>
      </w:r>
    </w:p>
    <w:p w14:paraId="5C65593D" w14:textId="77777777" w:rsidR="008866AF" w:rsidRPr="00153066" w:rsidRDefault="008866AF" w:rsidP="008866AF">
      <w:pPr>
        <w:jc w:val="both"/>
        <w:rPr>
          <w:sz w:val="24"/>
          <w:szCs w:val="24"/>
        </w:rPr>
      </w:pPr>
      <w:r w:rsidRPr="00153066">
        <w:rPr>
          <w:b/>
          <w:bCs/>
          <w:sz w:val="24"/>
          <w:szCs w:val="24"/>
        </w:rPr>
        <w:t>Keywords:</w:t>
      </w:r>
      <w:r w:rsidRPr="00153066">
        <w:rPr>
          <w:sz w:val="24"/>
          <w:szCs w:val="24"/>
        </w:rPr>
        <w:t xml:space="preserve"> autoethnography, disability futurity, relational model of disability, intersectionality, rural education, inclusive pedagogy, structural precarity, identity formation.</w:t>
      </w:r>
      <w:r w:rsidRPr="00153066">
        <w:rPr>
          <w:sz w:val="24"/>
          <w:szCs w:val="24"/>
        </w:rPr>
        <w:br w:type="page"/>
      </w:r>
    </w:p>
    <w:p w14:paraId="371D69C7" w14:textId="77777777" w:rsidR="008866AF" w:rsidRDefault="008866AF" w:rsidP="008866AF"/>
    <w:p w14:paraId="7E6FD15A"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22. Precarious Futures: Lived Experiences of Disability in Indian Higher Education</w:t>
      </w:r>
    </w:p>
    <w:p w14:paraId="22BF76A3" w14:textId="77777777" w:rsidR="008866AF" w:rsidRDefault="008866AF" w:rsidP="008866AF">
      <w:pPr>
        <w:spacing w:after="0" w:line="240" w:lineRule="auto"/>
        <w:jc w:val="center"/>
        <w:rPr>
          <w:rFonts w:ascii="Calibri" w:eastAsia="Calibri" w:hAnsi="Calibri" w:cs="Calibri"/>
          <w:b/>
          <w:bCs/>
          <w:sz w:val="24"/>
          <w:szCs w:val="24"/>
        </w:rPr>
      </w:pPr>
    </w:p>
    <w:p w14:paraId="26371851" w14:textId="77777777" w:rsidR="008866AF" w:rsidRPr="00C93839" w:rsidRDefault="008866AF" w:rsidP="008866AF">
      <w:pPr>
        <w:spacing w:after="0" w:line="240" w:lineRule="auto"/>
        <w:rPr>
          <w:rFonts w:ascii="Calibri" w:eastAsia="Calibri" w:hAnsi="Calibri" w:cs="Calibri"/>
          <w:sz w:val="24"/>
          <w:szCs w:val="24"/>
        </w:rPr>
      </w:pPr>
      <w:proofErr w:type="spellStart"/>
      <w:r>
        <w:rPr>
          <w:rFonts w:ascii="Calibri" w:eastAsia="Calibri" w:hAnsi="Calibri" w:cs="Calibri"/>
          <w:b/>
          <w:bCs/>
          <w:sz w:val="24"/>
          <w:szCs w:val="24"/>
        </w:rPr>
        <w:t>Shivpal</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Chawda</w:t>
      </w:r>
      <w:proofErr w:type="spellEnd"/>
      <w:r>
        <w:rPr>
          <w:rFonts w:ascii="Calibri" w:eastAsia="Calibri" w:hAnsi="Calibri" w:cs="Calibri"/>
          <w:b/>
          <w:bCs/>
          <w:sz w:val="24"/>
          <w:szCs w:val="24"/>
        </w:rPr>
        <w:t xml:space="preserve">, </w:t>
      </w:r>
      <w:r>
        <w:rPr>
          <w:rFonts w:ascii="Calibri" w:eastAsia="Calibri" w:hAnsi="Calibri" w:cs="Calibri"/>
          <w:sz w:val="24"/>
          <w:szCs w:val="24"/>
        </w:rPr>
        <w:t xml:space="preserve">Research Scholar, School of Interdisciplinary and Transdisciplinary Studies, Indira Gandhi National Open University New Delhi. Email: </w:t>
      </w:r>
      <w:hyperlink r:id="rId39">
        <w:r>
          <w:rPr>
            <w:rFonts w:ascii="Calibri" w:eastAsia="Calibri" w:hAnsi="Calibri" w:cs="Calibri"/>
            <w:color w:val="1155CC"/>
            <w:sz w:val="24"/>
            <w:szCs w:val="24"/>
            <w:u w:val="single"/>
          </w:rPr>
          <w:t>shivpalchawda90@gmail.com</w:t>
        </w:r>
      </w:hyperlink>
    </w:p>
    <w:p w14:paraId="2AACB1BF" w14:textId="77777777" w:rsidR="008866AF" w:rsidRDefault="008866AF" w:rsidP="008866AF">
      <w:pPr>
        <w:spacing w:after="0" w:line="240" w:lineRule="auto"/>
        <w:ind w:left="720"/>
        <w:jc w:val="center"/>
      </w:pPr>
    </w:p>
    <w:p w14:paraId="3E2BA974" w14:textId="77777777" w:rsidR="008866AF" w:rsidRPr="00C93839" w:rsidRDefault="008866AF" w:rsidP="008866AF">
      <w:pPr>
        <w:jc w:val="both"/>
        <w:rPr>
          <w:sz w:val="24"/>
          <w:szCs w:val="24"/>
        </w:rPr>
      </w:pPr>
      <w:r w:rsidRPr="00C93839">
        <w:rPr>
          <w:sz w:val="24"/>
          <w:szCs w:val="24"/>
        </w:rPr>
        <w:t>Although progressive legal and policy frameworks, such as the Rights of Persons with Disabilities Act (2016) and the National Education Policy (2020), are in place, Indian higher education still faces some imminent obstacles for students with disabilities. Most studies in the existing literature have focused on policy gaps and existing inadequate infrastructure, but minimal attention has been paid to their impact on the perceived and actual future of students. Based on the qualitative analysis of interviews with students with various disabilities, such as locomotor and cerebral palsy, visual impairment, and neurodivergence, conducted in Indian universities, this paper explores the totality of disability inclusion as a lived experience and disability futures.</w:t>
      </w:r>
    </w:p>
    <w:p w14:paraId="2C10A268" w14:textId="77777777" w:rsidR="008866AF" w:rsidRPr="00C93839" w:rsidRDefault="008866AF" w:rsidP="008866AF">
      <w:pPr>
        <w:jc w:val="both"/>
        <w:rPr>
          <w:sz w:val="24"/>
          <w:szCs w:val="24"/>
        </w:rPr>
      </w:pPr>
      <w:r w:rsidRPr="00C93839">
        <w:rPr>
          <w:sz w:val="24"/>
          <w:szCs w:val="24"/>
        </w:rPr>
        <w:t xml:space="preserve">The review takes a combined qualitative approach in predicting the state of the future based on the mundane experiences of working within bureaucracy, infrastructure, pedagogy, gendered regulation, and the form of informal care network on how students perceive academic life. According to the findings, inclusion is an uncertain and conditional process, which is also maintained by the view of individual bargain and informal support as opposed to institutional assurances. Delayed structures and bureaucracies put educational paths in the future, inaccessible structures create fatigue and reliance, pedagogical standards </w:t>
      </w:r>
      <w:proofErr w:type="spellStart"/>
      <w:r w:rsidRPr="00C93839">
        <w:rPr>
          <w:sz w:val="24"/>
          <w:szCs w:val="24"/>
        </w:rPr>
        <w:t>favour</w:t>
      </w:r>
      <w:proofErr w:type="spellEnd"/>
      <w:r w:rsidRPr="00C93839">
        <w:rPr>
          <w:sz w:val="24"/>
          <w:szCs w:val="24"/>
        </w:rPr>
        <w:t xml:space="preserve"> able-bodied and neuro-normative students, and the rules set by gender place women students under even greater constraints in terms of mobility and involvement.</w:t>
      </w:r>
    </w:p>
    <w:p w14:paraId="15332C67" w14:textId="77777777" w:rsidR="008866AF" w:rsidRPr="00C93839" w:rsidRDefault="008866AF" w:rsidP="008866AF">
      <w:pPr>
        <w:jc w:val="both"/>
        <w:rPr>
          <w:sz w:val="24"/>
          <w:szCs w:val="24"/>
        </w:rPr>
      </w:pPr>
      <w:r w:rsidRPr="00C93839">
        <w:rPr>
          <w:sz w:val="24"/>
          <w:szCs w:val="24"/>
        </w:rPr>
        <w:t>Finding student stories in disability futures research, this paper argues that Indian universities can not only model inclusive policies but also tell sustainable disability futures. The study notes gaps in the accommodation-based inclusion and recommends structural and epistemic changes to the institutions of higher learning and, thus, transforming the lives of students with disabilities into a more worthy and workable future.</w:t>
      </w:r>
    </w:p>
    <w:p w14:paraId="673B1CDE" w14:textId="77777777" w:rsidR="008866AF" w:rsidRDefault="008866AF" w:rsidP="008866AF">
      <w:pPr>
        <w:pStyle w:val="Heading1"/>
      </w:pPr>
      <w:r>
        <w:br w:type="page"/>
      </w:r>
    </w:p>
    <w:p w14:paraId="61CF6C5A" w14:textId="77777777" w:rsidR="008866AF" w:rsidRDefault="008866AF" w:rsidP="008866AF">
      <w:pPr>
        <w:pStyle w:val="Heading1"/>
      </w:pPr>
      <w:r>
        <w:lastRenderedPageBreak/>
        <w:t>Panel 8B: Disability, Embodiment, Gender</w:t>
      </w:r>
    </w:p>
    <w:p w14:paraId="6D7CB4A0" w14:textId="77777777" w:rsidR="008866AF" w:rsidRDefault="008866AF" w:rsidP="008866AF"/>
    <w:p w14:paraId="642A4899"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23. Retelling Fairy Tales, Reimagining Disability Futures: A Study of Classic Fairy Tales Rewritten from the Perspective of Disabled Women from India </w:t>
      </w:r>
    </w:p>
    <w:p w14:paraId="452FF3C4" w14:textId="77777777" w:rsidR="008866AF" w:rsidRDefault="008866AF" w:rsidP="008866AF">
      <w:pPr>
        <w:spacing w:after="0" w:line="240" w:lineRule="auto"/>
        <w:jc w:val="center"/>
        <w:rPr>
          <w:rFonts w:ascii="Calibri" w:eastAsia="Calibri" w:hAnsi="Calibri" w:cs="Calibri"/>
          <w:b/>
          <w:bCs/>
          <w:sz w:val="24"/>
          <w:szCs w:val="24"/>
        </w:rPr>
      </w:pPr>
    </w:p>
    <w:p w14:paraId="5BA78C67" w14:textId="40AD330B"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Sum</w:t>
      </w:r>
      <w:r w:rsidR="0028345C">
        <w:rPr>
          <w:rFonts w:ascii="Calibri" w:eastAsia="Calibri" w:hAnsi="Calibri" w:cs="Calibri"/>
          <w:b/>
          <w:bCs/>
          <w:sz w:val="24"/>
          <w:szCs w:val="24"/>
        </w:rPr>
        <w:t>a</w:t>
      </w:r>
      <w:r>
        <w:rPr>
          <w:rFonts w:ascii="Calibri" w:eastAsia="Calibri" w:hAnsi="Calibri" w:cs="Calibri"/>
          <w:b/>
          <w:bCs/>
          <w:sz w:val="24"/>
          <w:szCs w:val="24"/>
        </w:rPr>
        <w:t xml:space="preserve">dhura Roy, </w:t>
      </w:r>
      <w:r w:rsidRPr="008866AF">
        <w:rPr>
          <w:rFonts w:ascii="Calibri" w:eastAsia="Calibri" w:hAnsi="Calibri" w:cs="Calibri"/>
        </w:rPr>
        <w:t xml:space="preserve">Assistant Professor, Dyal Singh Evening College,  University of Delhi. Email: </w:t>
      </w:r>
      <w:hyperlink r:id="rId40">
        <w:r w:rsidRPr="008866AF">
          <w:rPr>
            <w:rFonts w:ascii="Calibri" w:eastAsia="Calibri" w:hAnsi="Calibri" w:cs="Calibri"/>
            <w:color w:val="1155CC"/>
            <w:u w:val="single"/>
          </w:rPr>
          <w:t>sumadhuraroy@gmail.com</w:t>
        </w:r>
      </w:hyperlink>
    </w:p>
    <w:p w14:paraId="45C24254" w14:textId="77777777" w:rsidR="008866AF" w:rsidRDefault="008866AF" w:rsidP="008866AF">
      <w:pPr>
        <w:spacing w:after="0" w:line="240" w:lineRule="auto"/>
        <w:ind w:left="720"/>
        <w:jc w:val="center"/>
        <w:rPr>
          <w:rFonts w:ascii="Calibri" w:eastAsia="Calibri" w:hAnsi="Calibri" w:cs="Calibri"/>
          <w:b/>
          <w:bCs/>
          <w:sz w:val="24"/>
          <w:szCs w:val="24"/>
        </w:rPr>
      </w:pPr>
    </w:p>
    <w:p w14:paraId="48777478" w14:textId="77777777" w:rsidR="008866AF" w:rsidRPr="008866AF" w:rsidRDefault="008866AF" w:rsidP="008866AF">
      <w:pPr>
        <w:spacing w:after="0" w:line="240" w:lineRule="auto"/>
        <w:rPr>
          <w:sz w:val="20"/>
          <w:szCs w:val="20"/>
        </w:rPr>
      </w:pPr>
      <w:r>
        <w:rPr>
          <w:rFonts w:ascii="Calibri" w:eastAsia="Calibri" w:hAnsi="Calibri" w:cs="Calibri"/>
          <w:b/>
          <w:bCs/>
          <w:sz w:val="24"/>
          <w:szCs w:val="24"/>
        </w:rPr>
        <w:t xml:space="preserve">Reshma Jose, </w:t>
      </w:r>
      <w:r w:rsidRPr="008866AF">
        <w:rPr>
          <w:rFonts w:ascii="Calibri" w:eastAsia="Calibri" w:hAnsi="Calibri" w:cs="Calibri"/>
        </w:rPr>
        <w:t xml:space="preserve">Assistant Professor, Jesus and Mary College, University of Delhi. Email: </w:t>
      </w:r>
      <w:hyperlink r:id="rId41">
        <w:r w:rsidRPr="008866AF">
          <w:rPr>
            <w:rFonts w:ascii="Calibri" w:eastAsia="Calibri" w:hAnsi="Calibri" w:cs="Calibri"/>
            <w:color w:val="1155CC"/>
            <w:u w:val="single"/>
          </w:rPr>
          <w:t>josereshma02@gmail.com</w:t>
        </w:r>
      </w:hyperlink>
    </w:p>
    <w:p w14:paraId="29BC0546" w14:textId="77777777" w:rsidR="008866AF" w:rsidRDefault="008866AF" w:rsidP="008866AF">
      <w:pPr>
        <w:spacing w:after="0" w:line="240" w:lineRule="auto"/>
        <w:ind w:left="720"/>
        <w:jc w:val="center"/>
      </w:pPr>
    </w:p>
    <w:p w14:paraId="2D231490" w14:textId="6DE40F84" w:rsidR="008866AF" w:rsidRPr="00C93839" w:rsidRDefault="008866AF" w:rsidP="008866AF">
      <w:pPr>
        <w:jc w:val="both"/>
      </w:pPr>
      <w:r w:rsidRPr="00C93839">
        <w:t xml:space="preserve">Fairy tales have traversed a wide and varied geographical space, and been reinterpreted, critiqued and rewritten from multiple perspectives. In India, particularly, the classic European fairy tales like Cinderella, Rapunzel, Snow White et al. have continued to have an enduring presence and influence in the lives of children, particularly young girls. As feminist criticism over the last few decades have </w:t>
      </w:r>
      <w:proofErr w:type="spellStart"/>
      <w:r w:rsidRPr="00C93839">
        <w:t>emphasised</w:t>
      </w:r>
      <w:proofErr w:type="spellEnd"/>
      <w:r w:rsidRPr="00C93839">
        <w:t xml:space="preserve">, these fairy tales are not merely entertaining tales for children, but more importantly, documents of moral codes and gender roles for young women to follow. They dictate that “happily-ever-after” is attained by embodying patriarchal gender norms, </w:t>
      </w:r>
      <w:r>
        <w:t xml:space="preserve"> </w:t>
      </w:r>
      <w:r w:rsidRPr="00C93839">
        <w:t>and becoming 'dutiful' wives and mothers within the institution of marriage. While such feminist interventions have been critical in reinvestigating the genre of fairy tales, there is a need to extend this inquiry and make it more inclusive.</w:t>
      </w:r>
    </w:p>
    <w:p w14:paraId="35D8B2C0" w14:textId="77777777" w:rsidR="008866AF" w:rsidRDefault="008866AF" w:rsidP="008866AF">
      <w:pPr>
        <w:jc w:val="both"/>
      </w:pPr>
      <w:r w:rsidRPr="00C93839">
        <w:t xml:space="preserve">In our paper, we will study stories from the anthology titled And They Lived…Ever After: Disabled Women Retell Fairy Tales, published by HarperCollins, India, in 2024. The texts we will be </w:t>
      </w:r>
      <w:proofErr w:type="spellStart"/>
      <w:r w:rsidRPr="00C93839">
        <w:t>focussing</w:t>
      </w:r>
      <w:proofErr w:type="spellEnd"/>
      <w:r w:rsidRPr="00C93839">
        <w:t xml:space="preserve"> on are “The Ugly Duckling” by </w:t>
      </w:r>
      <w:proofErr w:type="spellStart"/>
      <w:r w:rsidRPr="00C93839">
        <w:t>Priyangee</w:t>
      </w:r>
      <w:proofErr w:type="spellEnd"/>
      <w:r w:rsidRPr="00C93839">
        <w:t xml:space="preserve"> Guha, “Rapunzel and the People of </w:t>
      </w:r>
      <w:proofErr w:type="spellStart"/>
      <w:r w:rsidRPr="00C93839">
        <w:t>Companara</w:t>
      </w:r>
      <w:proofErr w:type="spellEnd"/>
      <w:r w:rsidRPr="00C93839">
        <w:t xml:space="preserve">” by Soumita Basu, and “The Deaf Snow White” by Kanika Agarwal. We will explore the dominant representation of bodies in classic fairy tales, and examine how preconceived notions are challenged in the retellings of disabled women from India. Delving into the idea of the body will lead us to investigate and reflect upon the construct of normal and abnormal, ideal and inferior, desirable and undesirable bodies, and the intersection of these questions with the categories of gender, race, and ability. Most importantly, it will raise questions about disability futures and reexamine the possibility of building alternate socio-political structures and spaces of belonging for bodies marked by difference. The methodology would involve close textual reading from a critical theoretical lens, bringing in perspectives from nascent fields like disability studies, postcolonial feminist studies, and south </w:t>
      </w:r>
      <w:proofErr w:type="spellStart"/>
      <w:r w:rsidRPr="00C93839">
        <w:t>asian</w:t>
      </w:r>
      <w:proofErr w:type="spellEnd"/>
      <w:r w:rsidRPr="00C93839">
        <w:t xml:space="preserve"> studies. This study will help revisit earlier critical inquiries, find existing gaps, and create a new, subversive, inclusive discourse about fairy tales. Additionally, since these stories are written by South Asian women with lived experience of disability, they may be seen as blending fairy tales with life narratives, giving rise to a fluid, heterogenous genre. It is, therefore, not only a retelling of content but also an experimentation with the form of fairy tales.</w:t>
      </w:r>
      <w:r>
        <w:br w:type="page"/>
      </w:r>
    </w:p>
    <w:p w14:paraId="554E52CE" w14:textId="77777777" w:rsidR="008866AF" w:rsidRDefault="008866AF" w:rsidP="008866AF"/>
    <w:p w14:paraId="38CB879F"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24. The Politics of Re-embodiment – Understanding Disability, Corporeality, and Hegemonic Masculinity in Abhishek Anicca’s </w:t>
      </w:r>
      <w:r>
        <w:rPr>
          <w:rFonts w:ascii="Calibri" w:eastAsia="Calibri" w:hAnsi="Calibri" w:cs="Calibri"/>
          <w:b/>
          <w:bCs/>
          <w:i/>
          <w:iCs/>
          <w:sz w:val="24"/>
          <w:szCs w:val="24"/>
        </w:rPr>
        <w:t>The Grammar of My Body</w:t>
      </w:r>
      <w:r>
        <w:rPr>
          <w:rFonts w:ascii="Calibri" w:eastAsia="Calibri" w:hAnsi="Calibri" w:cs="Calibri"/>
          <w:b/>
          <w:bCs/>
          <w:sz w:val="24"/>
          <w:szCs w:val="24"/>
        </w:rPr>
        <w:t xml:space="preserve"> (2023) </w:t>
      </w:r>
    </w:p>
    <w:p w14:paraId="731EAFFB" w14:textId="77777777" w:rsidR="008866AF" w:rsidRDefault="008866AF" w:rsidP="008866AF">
      <w:pPr>
        <w:spacing w:after="0" w:line="240" w:lineRule="auto"/>
        <w:jc w:val="center"/>
        <w:rPr>
          <w:rFonts w:ascii="Calibri" w:eastAsia="Calibri" w:hAnsi="Calibri" w:cs="Calibri"/>
          <w:b/>
          <w:bCs/>
          <w:sz w:val="24"/>
          <w:szCs w:val="24"/>
        </w:rPr>
      </w:pPr>
    </w:p>
    <w:p w14:paraId="7B522C7D"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 xml:space="preserve">Barbie Kar, </w:t>
      </w:r>
      <w:r>
        <w:rPr>
          <w:rFonts w:ascii="Calibri" w:eastAsia="Calibri" w:hAnsi="Calibri" w:cs="Calibri"/>
          <w:sz w:val="24"/>
          <w:szCs w:val="24"/>
        </w:rPr>
        <w:t xml:space="preserve">PhD scholar, Department of English, University of Delhi. </w:t>
      </w:r>
    </w:p>
    <w:p w14:paraId="1A819E70"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sz w:val="24"/>
          <w:szCs w:val="24"/>
        </w:rPr>
        <w:t xml:space="preserve">Email: </w:t>
      </w:r>
      <w:hyperlink r:id="rId42">
        <w:r>
          <w:rPr>
            <w:rFonts w:ascii="Calibri" w:eastAsia="Calibri" w:hAnsi="Calibri" w:cs="Calibri"/>
            <w:color w:val="1155CC"/>
            <w:sz w:val="24"/>
            <w:szCs w:val="24"/>
            <w:u w:val="single"/>
          </w:rPr>
          <w:t>barbie99kar@gmail.com</w:t>
        </w:r>
      </w:hyperlink>
      <w:r>
        <w:rPr>
          <w:rFonts w:ascii="Calibri" w:eastAsia="Calibri" w:hAnsi="Calibri" w:cs="Calibri"/>
          <w:sz w:val="24"/>
          <w:szCs w:val="24"/>
        </w:rPr>
        <w:t xml:space="preserve"> </w:t>
      </w:r>
    </w:p>
    <w:p w14:paraId="79A7FF3B" w14:textId="77777777" w:rsidR="008866AF" w:rsidRDefault="008866AF" w:rsidP="008866AF">
      <w:pPr>
        <w:spacing w:after="0" w:line="240" w:lineRule="auto"/>
        <w:ind w:left="720"/>
        <w:jc w:val="center"/>
        <w:rPr>
          <w:rFonts w:ascii="Calibri" w:eastAsia="Calibri" w:hAnsi="Calibri" w:cs="Calibri"/>
          <w:b/>
          <w:bCs/>
          <w:sz w:val="24"/>
          <w:szCs w:val="24"/>
        </w:rPr>
      </w:pPr>
      <w:r>
        <w:rPr>
          <w:rFonts w:ascii="Calibri" w:eastAsia="Calibri" w:hAnsi="Calibri" w:cs="Calibri"/>
          <w:b/>
          <w:bCs/>
          <w:sz w:val="24"/>
          <w:szCs w:val="24"/>
        </w:rPr>
        <w:t xml:space="preserve"> </w:t>
      </w:r>
    </w:p>
    <w:p w14:paraId="3CF784C0" w14:textId="77777777" w:rsidR="008866AF" w:rsidRPr="00C93839" w:rsidRDefault="008866AF" w:rsidP="008866AF">
      <w:pPr>
        <w:jc w:val="both"/>
        <w:rPr>
          <w:sz w:val="24"/>
          <w:szCs w:val="24"/>
        </w:rPr>
      </w:pPr>
      <w:r w:rsidRPr="00C93839">
        <w:rPr>
          <w:sz w:val="24"/>
          <w:szCs w:val="24"/>
        </w:rPr>
        <w:t>The intersection of gender and disability reveals a complex landscape where gendered expectations and ableist norms collide to create intricate forms of marginalization. In contemporary patriarchal structures, hegemonic masculinity is predicated on the negation of physical limitation, vulnerability, and the body itself. However, there remains a significant gap in the discourse pertaining to the discussion on disabled or trans men. Drawing on Judith Butler’s concept of “gender performativity,” which sees gender as socially constructed rather than inherent, one can critically examine hegemonic masculinity which legitimizes male dominance while simultaneously subordinating both women and men with non-normative bodies, casting the disabled man as an ontological failure. By situating Abhishek Anicca’s autopathography, The Grammar of My Body (2023), within this complex nexus of systemic inequity, this paper examines the disabled male body as a locus of conflicted identity, affective vulnerability, and defiant re-embodiment. By exposing the psychic and physical dissonance between lived embodiment and cultural expectations, this paper will discuss how The Grammar of My Body challenges ubiquitous ableist paradigms, offering a politically nuanced reimagining of the disabled male body.</w:t>
      </w:r>
    </w:p>
    <w:p w14:paraId="7EAC9F93" w14:textId="343EA0E7" w:rsidR="008866AF" w:rsidRDefault="008866AF" w:rsidP="008866AF">
      <w:pPr>
        <w:jc w:val="both"/>
      </w:pPr>
      <w:r w:rsidRPr="00C93839">
        <w:rPr>
          <w:b/>
          <w:bCs/>
          <w:sz w:val="24"/>
          <w:szCs w:val="24"/>
        </w:rPr>
        <w:t>Keywords:</w:t>
      </w:r>
      <w:r w:rsidR="00B62AF3">
        <w:rPr>
          <w:b/>
          <w:bCs/>
          <w:sz w:val="24"/>
          <w:szCs w:val="24"/>
        </w:rPr>
        <w:t xml:space="preserve"> </w:t>
      </w:r>
      <w:r w:rsidR="00B62AF3" w:rsidRPr="00B62AF3">
        <w:rPr>
          <w:sz w:val="24"/>
          <w:szCs w:val="24"/>
        </w:rPr>
        <w:t>C</w:t>
      </w:r>
      <w:r w:rsidRPr="00C93839">
        <w:rPr>
          <w:sz w:val="24"/>
          <w:szCs w:val="24"/>
        </w:rPr>
        <w:t>ritical disability studies, hegemonic masculinity, autopathography, gender</w:t>
      </w:r>
      <w:r>
        <w:br w:type="page"/>
      </w:r>
    </w:p>
    <w:p w14:paraId="3F72C4D6" w14:textId="77777777" w:rsidR="008866AF" w:rsidRDefault="008866AF" w:rsidP="008866AF"/>
    <w:p w14:paraId="30F61817" w14:textId="77777777" w:rsidR="008866AF" w:rsidRDefault="008866AF" w:rsidP="008866AF">
      <w:pPr>
        <w:spacing w:after="0" w:line="240" w:lineRule="auto"/>
        <w:rPr>
          <w:rFonts w:ascii="Calibri" w:eastAsia="Calibri" w:hAnsi="Calibri" w:cs="Calibri"/>
          <w:b/>
          <w:bCs/>
          <w:sz w:val="24"/>
          <w:szCs w:val="24"/>
        </w:rPr>
      </w:pPr>
      <w:r>
        <w:rPr>
          <w:rFonts w:ascii="Calibri" w:eastAsia="Calibri" w:hAnsi="Calibri" w:cs="Calibri"/>
          <w:b/>
          <w:bCs/>
          <w:sz w:val="24"/>
          <w:szCs w:val="24"/>
        </w:rPr>
        <w:t>25. Echoes of Unfulfilled Desires: Phantoms of Motherhood in Still Born</w:t>
      </w:r>
    </w:p>
    <w:p w14:paraId="6C06F5BB" w14:textId="77777777" w:rsidR="008866AF" w:rsidRDefault="008866AF" w:rsidP="008866AF">
      <w:pPr>
        <w:spacing w:after="0" w:line="240" w:lineRule="auto"/>
        <w:jc w:val="center"/>
        <w:rPr>
          <w:rFonts w:ascii="Calibri" w:eastAsia="Calibri" w:hAnsi="Calibri" w:cs="Calibri"/>
          <w:b/>
          <w:bCs/>
          <w:sz w:val="24"/>
          <w:szCs w:val="24"/>
        </w:rPr>
      </w:pPr>
    </w:p>
    <w:p w14:paraId="620DFCCB" w14:textId="77777777" w:rsidR="008866AF" w:rsidRDefault="008866AF" w:rsidP="008866AF">
      <w:pPr>
        <w:spacing w:after="0" w:line="240" w:lineRule="auto"/>
        <w:rPr>
          <w:rFonts w:ascii="Calibri" w:eastAsia="Calibri" w:hAnsi="Calibri" w:cs="Calibri"/>
          <w:sz w:val="24"/>
          <w:szCs w:val="24"/>
        </w:rPr>
      </w:pPr>
      <w:r>
        <w:rPr>
          <w:rFonts w:ascii="Calibri" w:eastAsia="Calibri" w:hAnsi="Calibri" w:cs="Calibri"/>
          <w:b/>
          <w:bCs/>
          <w:sz w:val="24"/>
          <w:szCs w:val="24"/>
        </w:rPr>
        <w:t>Riya Chawla,</w:t>
      </w:r>
      <w:r>
        <w:rPr>
          <w:rFonts w:ascii="Calibri" w:eastAsia="Calibri" w:hAnsi="Calibri" w:cs="Calibri"/>
          <w:sz w:val="24"/>
          <w:szCs w:val="24"/>
        </w:rPr>
        <w:t xml:space="preserve"> PhD Scholar in English Literature, Center of Humanities and Social Sciences, Malaviya National Institute of Technology, Jaipur.</w:t>
      </w:r>
    </w:p>
    <w:p w14:paraId="4DA7ED4F" w14:textId="77777777" w:rsidR="008866AF" w:rsidRDefault="008866AF" w:rsidP="008866AF">
      <w:pPr>
        <w:spacing w:after="0" w:line="240" w:lineRule="auto"/>
      </w:pPr>
      <w:r>
        <w:rPr>
          <w:rFonts w:ascii="Calibri" w:eastAsia="Calibri" w:hAnsi="Calibri" w:cs="Calibri"/>
          <w:sz w:val="24"/>
          <w:szCs w:val="24"/>
        </w:rPr>
        <w:t xml:space="preserve">Email: </w:t>
      </w:r>
      <w:hyperlink r:id="rId43">
        <w:r>
          <w:rPr>
            <w:rFonts w:ascii="Calibri" w:eastAsia="Calibri" w:hAnsi="Calibri" w:cs="Calibri"/>
            <w:color w:val="1155CC"/>
            <w:sz w:val="24"/>
            <w:szCs w:val="24"/>
            <w:u w:val="single"/>
          </w:rPr>
          <w:t>riyachawlaa03@gmail.com</w:t>
        </w:r>
      </w:hyperlink>
    </w:p>
    <w:p w14:paraId="3E47C950" w14:textId="77777777" w:rsidR="008866AF" w:rsidRDefault="008866AF" w:rsidP="008866AF">
      <w:pPr>
        <w:spacing w:after="0" w:line="240" w:lineRule="auto"/>
        <w:ind w:left="720"/>
        <w:jc w:val="center"/>
      </w:pPr>
    </w:p>
    <w:p w14:paraId="6302E531" w14:textId="77777777" w:rsidR="008866AF" w:rsidRPr="00C93839" w:rsidRDefault="008866AF" w:rsidP="008866AF">
      <w:pPr>
        <w:jc w:val="both"/>
        <w:rPr>
          <w:sz w:val="24"/>
          <w:szCs w:val="24"/>
        </w:rPr>
      </w:pPr>
      <w:r w:rsidRPr="00C93839">
        <w:rPr>
          <w:sz w:val="24"/>
          <w:szCs w:val="24"/>
        </w:rPr>
        <w:t>Shortlisted for the International Booker Prize in 2023, Still Born by Guadalupe Nettel is a poignant exploration of motherhood, choice, and the complexities of life and death. Originally written in Mexican, the novel follows two main protagonists, Laura and Alina, as they navigate their desires and fears around becoming mothers. Laura is determined to live a child-free life, valuing her independence and freedom; in correspondence with this, she decides never to experience motherhood. In contrast, Alina eagerly anticipates motherhood and discovers that her daughter, Inés, has micro lissencephaly, a rare brain disorder that may lead to a shortened lifespan. The phantoms of motherhood are highlighted throughout the novel through Inés’s caretaker, Marlene, who can never experience biological motherhood. The discovery of a disability in an unborn child during pregnancy can present emotional and psychological challenges for a mother, especially the uncertainty surrounding their future, concerns about their child’s well-being, and societal attitudes that further increase the complexity of their experience.</w:t>
      </w:r>
    </w:p>
    <w:p w14:paraId="011F6E8F" w14:textId="77777777" w:rsidR="008866AF" w:rsidRPr="00C93839" w:rsidRDefault="008866AF" w:rsidP="008866AF">
      <w:pPr>
        <w:jc w:val="both"/>
        <w:rPr>
          <w:sz w:val="24"/>
          <w:szCs w:val="24"/>
        </w:rPr>
      </w:pPr>
      <w:r w:rsidRPr="00C93839">
        <w:rPr>
          <w:sz w:val="24"/>
          <w:szCs w:val="24"/>
        </w:rPr>
        <w:t>This paper aims to study Nettel’s portrayal of Alina’s and Marlene’s journey as a challenge to the traditional notions of motherhood, revealing the dilemmas faced by women giving birth to children with disabilities and experiencing motherhood beyond the conventional biological setting. Through their intertwined stories, the paper will examine themes of love, loss, and the resilience required to confront life’s unexpected challenges and will comment upon the nature of motherhood/s by juxtaposing its societal understanding to the lived experiences through these characters' journeys.</w:t>
      </w:r>
    </w:p>
    <w:p w14:paraId="2DE10AB0" w14:textId="77777777" w:rsidR="008866AF" w:rsidRPr="00C93839" w:rsidRDefault="008866AF" w:rsidP="008866AF">
      <w:pPr>
        <w:jc w:val="both"/>
        <w:rPr>
          <w:sz w:val="24"/>
          <w:szCs w:val="24"/>
        </w:rPr>
      </w:pPr>
      <w:r w:rsidRPr="00C93839">
        <w:rPr>
          <w:b/>
          <w:bCs/>
          <w:sz w:val="24"/>
          <w:szCs w:val="24"/>
        </w:rPr>
        <w:t xml:space="preserve">Keywords: </w:t>
      </w:r>
      <w:r w:rsidRPr="00C93839">
        <w:rPr>
          <w:sz w:val="24"/>
          <w:szCs w:val="24"/>
        </w:rPr>
        <w:t>Motherhood, disability, caregiving, feminist disability studies, shadow mothers</w:t>
      </w:r>
    </w:p>
    <w:p w14:paraId="2D63D842" w14:textId="77777777" w:rsidR="008866AF" w:rsidRDefault="008866AF" w:rsidP="008866AF"/>
    <w:p w14:paraId="6A6C248B" w14:textId="77777777" w:rsidR="008866AF" w:rsidRDefault="008866AF" w:rsidP="008866AF"/>
    <w:p w14:paraId="6F1D3F47" w14:textId="77777777" w:rsidR="00C23EB2" w:rsidRPr="008866AF" w:rsidRDefault="00C23EB2" w:rsidP="008866AF"/>
    <w:sectPr w:rsidR="00C23EB2" w:rsidRPr="008866AF" w:rsidSect="00344C97">
      <w:headerReference w:type="default" r:id="rId44"/>
      <w:footerReference w:type="default" r:id="rId45"/>
      <w:pgSz w:w="12240" w:h="15840"/>
      <w:pgMar w:top="1135" w:right="1800" w:bottom="1440" w:left="1800" w:header="90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B8962" w14:textId="77777777" w:rsidR="00BB26A6" w:rsidRDefault="00BB26A6">
      <w:pPr>
        <w:spacing w:after="0" w:line="240" w:lineRule="auto"/>
      </w:pPr>
      <w:r>
        <w:separator/>
      </w:r>
    </w:p>
  </w:endnote>
  <w:endnote w:type="continuationSeparator" w:id="0">
    <w:p w14:paraId="39A5B77C" w14:textId="77777777" w:rsidR="00BB26A6" w:rsidRDefault="00BB2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4CE0CCF-9680-4769-ACDC-5621B360BE02}"/>
    <w:embedBold r:id="rId2" w:fontKey="{02FE0D7F-ACBF-4744-8CAA-B52B5985E43F}"/>
  </w:font>
  <w:font w:name="Calibri">
    <w:panose1 w:val="020F0502020204030204"/>
    <w:charset w:val="00"/>
    <w:family w:val="swiss"/>
    <w:pitch w:val="variable"/>
    <w:sig w:usb0="E4002EFF" w:usb1="C200ACFF" w:usb2="00000009" w:usb3="00000000" w:csb0="000001FF" w:csb1="00000000"/>
    <w:embedRegular r:id="rId3" w:fontKey="{5BC3629E-9E9D-409F-BC60-9C04C2FDDE68}"/>
    <w:embedBold r:id="rId4" w:fontKey="{32C20B0D-15D2-46E4-9640-DF133FD8DDBC}"/>
    <w:embedItalic r:id="rId5" w:fontKey="{280E5CB7-BD8F-4E46-A203-264F54A012CE}"/>
    <w:embedBoldItalic r:id="rId6" w:fontKey="{22832A58-2CFF-4862-992B-5511CFD4DCC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872B39E3-B4FB-47A5-B414-A41F092B2365}"/>
  </w:font>
  <w:font w:name="Tunga">
    <w:panose1 w:val="00000400000000000000"/>
    <w:charset w:val="00"/>
    <w:family w:val="swiss"/>
    <w:pitch w:val="variable"/>
    <w:sig w:usb0="00400003" w:usb1="00000000" w:usb2="00000000" w:usb3="00000000" w:csb0="00000001" w:csb1="00000000"/>
    <w:embedRegular r:id="rId8" w:fontKey="{CBDC5C0C-DFDA-4FCC-95E8-2E18E63FE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42" w:type="pct"/>
      <w:jc w:val="center"/>
      <w:tblCellMar>
        <w:top w:w="144" w:type="dxa"/>
        <w:left w:w="115" w:type="dxa"/>
        <w:bottom w:w="144" w:type="dxa"/>
        <w:right w:w="115" w:type="dxa"/>
      </w:tblCellMar>
      <w:tblLook w:val="04A0" w:firstRow="1" w:lastRow="0" w:firstColumn="1" w:lastColumn="0" w:noHBand="0" w:noVBand="1"/>
    </w:tblPr>
    <w:tblGrid>
      <w:gridCol w:w="6520"/>
      <w:gridCol w:w="3402"/>
    </w:tblGrid>
    <w:tr w:rsidR="006B3803" w14:paraId="1BB3EA45" w14:textId="77777777" w:rsidTr="00B62AF3">
      <w:trPr>
        <w:trHeight w:hRule="exact" w:val="115"/>
        <w:jc w:val="center"/>
      </w:trPr>
      <w:tc>
        <w:tcPr>
          <w:tcW w:w="6521" w:type="dxa"/>
          <w:shd w:val="clear" w:color="auto" w:fill="4F81BD" w:themeFill="accent1"/>
          <w:tcMar>
            <w:top w:w="0" w:type="dxa"/>
            <w:bottom w:w="0" w:type="dxa"/>
          </w:tcMar>
        </w:tcPr>
        <w:p w14:paraId="3843E3A1" w14:textId="3D2963A8" w:rsidR="006B3803" w:rsidRDefault="006B3803">
          <w:pPr>
            <w:pStyle w:val="Header"/>
            <w:rPr>
              <w:caps/>
              <w:sz w:val="18"/>
            </w:rPr>
          </w:pPr>
        </w:p>
      </w:tc>
      <w:tc>
        <w:tcPr>
          <w:tcW w:w="3402" w:type="dxa"/>
          <w:shd w:val="clear" w:color="auto" w:fill="4F81BD" w:themeFill="accent1"/>
          <w:tcMar>
            <w:top w:w="0" w:type="dxa"/>
            <w:bottom w:w="0" w:type="dxa"/>
          </w:tcMar>
        </w:tcPr>
        <w:p w14:paraId="1F80651E" w14:textId="77777777" w:rsidR="006B3803" w:rsidRDefault="006B3803">
          <w:pPr>
            <w:pStyle w:val="Header"/>
            <w:jc w:val="right"/>
            <w:rPr>
              <w:caps/>
              <w:sz w:val="18"/>
            </w:rPr>
          </w:pPr>
        </w:p>
      </w:tc>
    </w:tr>
    <w:tr w:rsidR="006B3803" w14:paraId="01E07F22" w14:textId="77777777" w:rsidTr="00B62AF3">
      <w:trPr>
        <w:jc w:val="center"/>
      </w:trPr>
      <w:tc>
        <w:tcPr>
          <w:tcW w:w="6521" w:type="dxa"/>
          <w:vAlign w:val="center"/>
        </w:tcPr>
        <w:p w14:paraId="602F1FA6" w14:textId="6C305AAB" w:rsidR="006B3803" w:rsidRPr="00E752DA" w:rsidRDefault="00E752DA">
          <w:pPr>
            <w:pStyle w:val="Footer"/>
            <w:rPr>
              <w:caps/>
              <w:color w:val="000000" w:themeColor="text1"/>
              <w:sz w:val="18"/>
              <w:szCs w:val="18"/>
            </w:rPr>
          </w:pPr>
          <w:r w:rsidRPr="00E752DA">
            <w:rPr>
              <w:color w:val="000000" w:themeColor="text1"/>
              <w:sz w:val="18"/>
              <w:szCs w:val="18"/>
            </w:rPr>
            <w:t xml:space="preserve">Disability Futures: Intersections, Precarities, </w:t>
          </w:r>
          <w:r>
            <w:rPr>
              <w:color w:val="000000" w:themeColor="text1"/>
              <w:sz w:val="18"/>
              <w:szCs w:val="18"/>
            </w:rPr>
            <w:t>a</w:t>
          </w:r>
          <w:r w:rsidRPr="00E752DA">
            <w:rPr>
              <w:color w:val="000000" w:themeColor="text1"/>
              <w:sz w:val="18"/>
              <w:szCs w:val="18"/>
            </w:rPr>
            <w:t>nd Possibilities</w:t>
          </w:r>
          <w:r w:rsidR="00B62AF3">
            <w:rPr>
              <w:color w:val="000000" w:themeColor="text1"/>
              <w:sz w:val="18"/>
              <w:szCs w:val="18"/>
            </w:rPr>
            <w:t xml:space="preserve"> | May 14 &amp; 15 2026</w:t>
          </w:r>
        </w:p>
      </w:tc>
      <w:tc>
        <w:tcPr>
          <w:tcW w:w="3402" w:type="dxa"/>
          <w:vAlign w:val="center"/>
        </w:tcPr>
        <w:p w14:paraId="0ADE0132" w14:textId="77777777" w:rsidR="006B3803" w:rsidRDefault="006B380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F1D3F49" w14:textId="26D0EDEA" w:rsidR="00C23EB2" w:rsidRDefault="00C23EB2" w:rsidP="00AE7E4A">
    <w:pPr>
      <w:tabs>
        <w:tab w:val="left" w:pos="7797"/>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6302E" w14:textId="77777777" w:rsidR="00BB26A6" w:rsidRDefault="00BB26A6">
      <w:pPr>
        <w:spacing w:after="0" w:line="240" w:lineRule="auto"/>
      </w:pPr>
      <w:r>
        <w:separator/>
      </w:r>
    </w:p>
  </w:footnote>
  <w:footnote w:type="continuationSeparator" w:id="0">
    <w:p w14:paraId="78AE1F1E" w14:textId="77777777" w:rsidR="00BB26A6" w:rsidRDefault="00BB2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3F48" w14:textId="68EECBBE" w:rsidR="00C23EB2" w:rsidRDefault="008866AF">
    <w:pPr>
      <w:tabs>
        <w:tab w:val="center" w:pos="4513"/>
        <w:tab w:val="right" w:pos="9026"/>
      </w:tabs>
      <w:spacing w:after="0" w:line="240" w:lineRule="auto"/>
      <w:rPr>
        <w:color w:val="000000"/>
      </w:rPr>
    </w:pPr>
    <w:r>
      <w:rPr>
        <w:noProof/>
      </w:rPr>
      <w:drawing>
        <wp:anchor distT="114300" distB="114300" distL="114300" distR="114300" simplePos="0" relativeHeight="251659264" behindDoc="0" locked="0" layoutInCell="1" hidden="0" allowOverlap="1" wp14:anchorId="6F1D3F4D" wp14:editId="7F269A59">
          <wp:simplePos x="0" y="0"/>
          <wp:positionH relativeFrom="page">
            <wp:posOffset>5937250</wp:posOffset>
          </wp:positionH>
          <wp:positionV relativeFrom="page">
            <wp:posOffset>120650</wp:posOffset>
          </wp:positionV>
          <wp:extent cx="1619250" cy="736600"/>
          <wp:effectExtent l="0" t="0" r="0" b="6350"/>
          <wp:wrapTopAndBottom distT="114300" distB="114300"/>
          <wp:docPr id="1443923432" name="image1.png" descr="Logo of Azim Premji University "/>
          <wp:cNvGraphicFramePr/>
          <a:graphic xmlns:a="http://schemas.openxmlformats.org/drawingml/2006/main">
            <a:graphicData uri="http://schemas.openxmlformats.org/drawingml/2006/picture">
              <pic:pic xmlns:pic="http://schemas.openxmlformats.org/drawingml/2006/picture">
                <pic:nvPicPr>
                  <pic:cNvPr id="621682339" name="image1.png" descr="Logo of Azim Premji University "/>
                  <pic:cNvPicPr preferRelativeResize="0"/>
                </pic:nvPicPr>
                <pic:blipFill rotWithShape="1">
                  <a:blip r:embed="rId1"/>
                  <a:srcRect l="-8051" t="-9951" r="-2645" b="-915"/>
                  <a:stretch>
                    <a:fillRect/>
                  </a:stretch>
                </pic:blipFill>
                <pic:spPr bwMode="auto">
                  <a:xfrm>
                    <a:off x="0" y="0"/>
                    <a:ext cx="161925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1AD">
      <w:rPr>
        <w:noProof/>
      </w:rPr>
      <w:drawing>
        <wp:anchor distT="114300" distB="114300" distL="114300" distR="114300" simplePos="0" relativeHeight="251658240" behindDoc="1" locked="0" layoutInCell="1" hidden="0" allowOverlap="1" wp14:anchorId="6F1D3F4B" wp14:editId="4DE15258">
          <wp:simplePos x="0" y="0"/>
          <wp:positionH relativeFrom="page">
            <wp:posOffset>368300</wp:posOffset>
          </wp:positionH>
          <wp:positionV relativeFrom="page">
            <wp:posOffset>133350</wp:posOffset>
          </wp:positionV>
          <wp:extent cx="1092200" cy="742950"/>
          <wp:effectExtent l="0" t="0" r="0" b="0"/>
          <wp:wrapNone/>
          <wp:docPr id="1406091916" name="image2.png" descr="Logo of Indian Disability Studies Collective"/>
          <wp:cNvGraphicFramePr/>
          <a:graphic xmlns:a="http://schemas.openxmlformats.org/drawingml/2006/main">
            <a:graphicData uri="http://schemas.openxmlformats.org/drawingml/2006/picture">
              <pic:pic xmlns:pic="http://schemas.openxmlformats.org/drawingml/2006/picture">
                <pic:nvPicPr>
                  <pic:cNvPr id="144967485" name="image2.png" descr="Logo of Indian Disability Studies Collective"/>
                  <pic:cNvPicPr preferRelativeResize="0"/>
                </pic:nvPicPr>
                <pic:blipFill>
                  <a:blip r:embed="rId2"/>
                  <a:srcRect/>
                  <a:stretch>
                    <a:fillRect/>
                  </a:stretch>
                </pic:blipFill>
                <pic:spPr>
                  <a:xfrm>
                    <a:off x="0" y="0"/>
                    <a:ext cx="1092618" cy="743234"/>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0087B"/>
    <w:multiLevelType w:val="multilevel"/>
    <w:tmpl w:val="30688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870617"/>
    <w:multiLevelType w:val="multilevel"/>
    <w:tmpl w:val="B8A0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EF2C1A"/>
    <w:multiLevelType w:val="multilevel"/>
    <w:tmpl w:val="27B0E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B741C7"/>
    <w:multiLevelType w:val="multilevel"/>
    <w:tmpl w:val="6CC2E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B388C"/>
    <w:multiLevelType w:val="multilevel"/>
    <w:tmpl w:val="2D940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50225C"/>
    <w:multiLevelType w:val="multilevel"/>
    <w:tmpl w:val="B7B41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A04B8B"/>
    <w:multiLevelType w:val="multilevel"/>
    <w:tmpl w:val="8CA04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0E3F11"/>
    <w:multiLevelType w:val="multilevel"/>
    <w:tmpl w:val="7FEAC4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331784"/>
    <w:multiLevelType w:val="multilevel"/>
    <w:tmpl w:val="8AC2B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AA20B7"/>
    <w:multiLevelType w:val="multilevel"/>
    <w:tmpl w:val="88D03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48729A5"/>
    <w:multiLevelType w:val="multilevel"/>
    <w:tmpl w:val="C95AF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644FD4"/>
    <w:multiLevelType w:val="multilevel"/>
    <w:tmpl w:val="9A4E3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FD61811"/>
    <w:multiLevelType w:val="multilevel"/>
    <w:tmpl w:val="76CE3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5FE2AFA"/>
    <w:multiLevelType w:val="multilevel"/>
    <w:tmpl w:val="04429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F86B4E"/>
    <w:multiLevelType w:val="multilevel"/>
    <w:tmpl w:val="AD1465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CD799F"/>
    <w:multiLevelType w:val="multilevel"/>
    <w:tmpl w:val="59DE0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1003CA"/>
    <w:multiLevelType w:val="multilevel"/>
    <w:tmpl w:val="0BF29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820175"/>
    <w:multiLevelType w:val="multilevel"/>
    <w:tmpl w:val="2F54F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4B5A69"/>
    <w:multiLevelType w:val="multilevel"/>
    <w:tmpl w:val="7F4C0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735B6C"/>
    <w:multiLevelType w:val="multilevel"/>
    <w:tmpl w:val="2C9CE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5190335">
    <w:abstractNumId w:val="12"/>
  </w:num>
  <w:num w:numId="2" w16cid:durableId="1505586307">
    <w:abstractNumId w:val="5"/>
  </w:num>
  <w:num w:numId="3" w16cid:durableId="1068766026">
    <w:abstractNumId w:val="18"/>
  </w:num>
  <w:num w:numId="4" w16cid:durableId="1124544207">
    <w:abstractNumId w:val="1"/>
  </w:num>
  <w:num w:numId="5" w16cid:durableId="1746881855">
    <w:abstractNumId w:val="6"/>
  </w:num>
  <w:num w:numId="6" w16cid:durableId="1789204742">
    <w:abstractNumId w:val="17"/>
  </w:num>
  <w:num w:numId="7" w16cid:durableId="1861236450">
    <w:abstractNumId w:val="8"/>
  </w:num>
  <w:num w:numId="8" w16cid:durableId="1745373476">
    <w:abstractNumId w:val="15"/>
  </w:num>
  <w:num w:numId="9" w16cid:durableId="1289048159">
    <w:abstractNumId w:val="4"/>
  </w:num>
  <w:num w:numId="10" w16cid:durableId="1840928323">
    <w:abstractNumId w:val="0"/>
  </w:num>
  <w:num w:numId="11" w16cid:durableId="327291422">
    <w:abstractNumId w:val="7"/>
  </w:num>
  <w:num w:numId="12" w16cid:durableId="942497067">
    <w:abstractNumId w:val="19"/>
  </w:num>
  <w:num w:numId="13" w16cid:durableId="812865859">
    <w:abstractNumId w:val="10"/>
  </w:num>
  <w:num w:numId="14" w16cid:durableId="1316765587">
    <w:abstractNumId w:val="11"/>
  </w:num>
  <w:num w:numId="15" w16cid:durableId="536426998">
    <w:abstractNumId w:val="2"/>
  </w:num>
  <w:num w:numId="16" w16cid:durableId="1412851779">
    <w:abstractNumId w:val="16"/>
  </w:num>
  <w:num w:numId="17" w16cid:durableId="1769737474">
    <w:abstractNumId w:val="3"/>
  </w:num>
  <w:num w:numId="18" w16cid:durableId="96290562">
    <w:abstractNumId w:val="9"/>
  </w:num>
  <w:num w:numId="19" w16cid:durableId="1358847933">
    <w:abstractNumId w:val="13"/>
  </w:num>
  <w:num w:numId="20" w16cid:durableId="106434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EB2"/>
    <w:rsid w:val="000856D0"/>
    <w:rsid w:val="0024381A"/>
    <w:rsid w:val="00274099"/>
    <w:rsid w:val="0028345C"/>
    <w:rsid w:val="003400EA"/>
    <w:rsid w:val="00344C97"/>
    <w:rsid w:val="003F740D"/>
    <w:rsid w:val="004A454F"/>
    <w:rsid w:val="005A69C9"/>
    <w:rsid w:val="006B3803"/>
    <w:rsid w:val="00725E10"/>
    <w:rsid w:val="0078252C"/>
    <w:rsid w:val="008866AF"/>
    <w:rsid w:val="00996C20"/>
    <w:rsid w:val="00A731AD"/>
    <w:rsid w:val="00AE7E4A"/>
    <w:rsid w:val="00B61769"/>
    <w:rsid w:val="00B62AF3"/>
    <w:rsid w:val="00BB26A6"/>
    <w:rsid w:val="00C23EB2"/>
    <w:rsid w:val="00D862AC"/>
    <w:rsid w:val="00E752DA"/>
    <w:rsid w:val="00EF522C"/>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D3DC4"/>
  <w15:docId w15:val="{B07BBE92-CB60-412F-8ADA-D3110ADA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IN" w:bidi="kn-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Header">
    <w:name w:val="header"/>
    <w:basedOn w:val="Normal"/>
    <w:link w:val="HeaderChar"/>
    <w:uiPriority w:val="99"/>
    <w:unhideWhenUsed/>
    <w:rsid w:val="004A4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54F"/>
  </w:style>
  <w:style w:type="paragraph" w:styleId="Footer">
    <w:name w:val="footer"/>
    <w:basedOn w:val="Normal"/>
    <w:link w:val="FooterChar"/>
    <w:uiPriority w:val="99"/>
    <w:unhideWhenUsed/>
    <w:rsid w:val="004A4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irfanrn@calaw.in" TargetMode="External"/><Relationship Id="rId18" Type="http://schemas.openxmlformats.org/officeDocument/2006/relationships/hyperlink" Target="mailto:nivedita@pacta.in" TargetMode="External"/><Relationship Id="rId26" Type="http://schemas.openxmlformats.org/officeDocument/2006/relationships/hyperlink" Target="mailto:jiya.pandya@yale.edu" TargetMode="External"/><Relationship Id="rId39" Type="http://schemas.openxmlformats.org/officeDocument/2006/relationships/hyperlink" Target="mailto:shivpalchawda90@gmail.com" TargetMode="External"/><Relationship Id="rId21" Type="http://schemas.openxmlformats.org/officeDocument/2006/relationships/hyperlink" Target="mailto:doreswamy@iisertirupati.ac.in" TargetMode="External"/><Relationship Id="rId34" Type="http://schemas.openxmlformats.org/officeDocument/2006/relationships/hyperlink" Target="mailto:wrick.ishan@gmail.com" TargetMode="External"/><Relationship Id="rId42" Type="http://schemas.openxmlformats.org/officeDocument/2006/relationships/hyperlink" Target="mailto:barbie99kar@gmail.com" TargetMode="External"/><Relationship Id="rId47" Type="http://schemas.openxmlformats.org/officeDocument/2006/relationships/theme" Target="theme/theme1.xml"/><Relationship Id="rId7" Type="http://schemas.openxmlformats.org/officeDocument/2006/relationships/hyperlink" Target="mailto:gtuhisha@gmail.com" TargetMode="External"/><Relationship Id="rId2" Type="http://schemas.openxmlformats.org/officeDocument/2006/relationships/styles" Target="styles.xml"/><Relationship Id="rId16" Type="http://schemas.openxmlformats.org/officeDocument/2006/relationships/hyperlink" Target="mailto:shilpaa.anand@hyderabad.bits-pilani.ac.in" TargetMode="External"/><Relationship Id="rId29" Type="http://schemas.openxmlformats.org/officeDocument/2006/relationships/hyperlink" Target="mailto:neel009.socio.bhu@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athi.cvv230224@cvv.ac.in" TargetMode="External"/><Relationship Id="rId24" Type="http://schemas.openxmlformats.org/officeDocument/2006/relationships/hyperlink" Target="mailto:shilpaa.anand@hyderabad.bits-pilani.ac.in" TargetMode="External"/><Relationship Id="rId32" Type="http://schemas.openxmlformats.org/officeDocument/2006/relationships/hyperlink" Target="mailto:rashmimalhotra@enableindia.org" TargetMode="External"/><Relationship Id="rId37" Type="http://schemas.openxmlformats.org/officeDocument/2006/relationships/hyperlink" Target="mailto:surbhinagpal555@gmail.com" TargetMode="External"/><Relationship Id="rId40" Type="http://schemas.openxmlformats.org/officeDocument/2006/relationships/hyperlink" Target="mailto:sumadhuraroy@gmail.co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p20240448@hyderabad.bits-pilani.ac.in" TargetMode="External"/><Relationship Id="rId23" Type="http://schemas.openxmlformats.org/officeDocument/2006/relationships/hyperlink" Target="mailto:anubha.anushree@gmail.com" TargetMode="External"/><Relationship Id="rId28" Type="http://schemas.openxmlformats.org/officeDocument/2006/relationships/hyperlink" Target="mailto:vijay.kishor85@gmail.com" TargetMode="External"/><Relationship Id="rId36" Type="http://schemas.openxmlformats.org/officeDocument/2006/relationships/hyperlink" Target="mailto:p20200034@hyderabad.bits-pilani.ac.in" TargetMode="External"/><Relationship Id="rId10" Type="http://schemas.openxmlformats.org/officeDocument/2006/relationships/hyperlink" Target="mailto:bindhu.lakshmi@gmail.com" TargetMode="External"/><Relationship Id="rId19" Type="http://schemas.openxmlformats.org/officeDocument/2006/relationships/hyperlink" Target="mailto:rimjhimbhattacherjee@gmail.com" TargetMode="External"/><Relationship Id="rId31" Type="http://schemas.openxmlformats.org/officeDocument/2006/relationships/hyperlink" Target="mailto:radhika.jain@apu.edu.in"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hubha@la.iith.ac.in" TargetMode="External"/><Relationship Id="rId14" Type="http://schemas.openxmlformats.org/officeDocument/2006/relationships/hyperlink" Target="mailto:sachursunny@gmail.com" TargetMode="External"/><Relationship Id="rId22" Type="http://schemas.openxmlformats.org/officeDocument/2006/relationships/hyperlink" Target="mailto:ajaykumarshukla37@gmail.com" TargetMode="External"/><Relationship Id="rId27" Type="http://schemas.openxmlformats.org/officeDocument/2006/relationships/hyperlink" Target="mailto:Meghana.rao@apu.edu.in" TargetMode="External"/><Relationship Id="rId30" Type="http://schemas.openxmlformats.org/officeDocument/2006/relationships/hyperlink" Target="mailto:shubha@la.iith.ac.in" TargetMode="External"/><Relationship Id="rId35" Type="http://schemas.openxmlformats.org/officeDocument/2006/relationships/hyperlink" Target="mailto:satyabitu21@gmail.com" TargetMode="External"/><Relationship Id="rId43" Type="http://schemas.openxmlformats.org/officeDocument/2006/relationships/hyperlink" Target="mailto:riyachawlaa03@gmail.com" TargetMode="External"/><Relationship Id="rId8" Type="http://schemas.openxmlformats.org/officeDocument/2006/relationships/hyperlink" Target="mailto:sgoswami@rgu.ac.in" TargetMode="External"/><Relationship Id="rId3" Type="http://schemas.openxmlformats.org/officeDocument/2006/relationships/settings" Target="settings.xml"/><Relationship Id="rId12" Type="http://schemas.openxmlformats.org/officeDocument/2006/relationships/hyperlink" Target="mailto:raisun.mathew@cvv.ac.in" TargetMode="External"/><Relationship Id="rId17" Type="http://schemas.openxmlformats.org/officeDocument/2006/relationships/hyperlink" Target="mailto:prahalad@pacta.in" TargetMode="External"/><Relationship Id="rId25" Type="http://schemas.openxmlformats.org/officeDocument/2006/relationships/hyperlink" Target="mailto:a.mehta@gold.ac.uk" TargetMode="External"/><Relationship Id="rId33" Type="http://schemas.openxmlformats.org/officeDocument/2006/relationships/hyperlink" Target="mailto:shaswatabandyopadhyay@gmail.com" TargetMode="External"/><Relationship Id="rId38" Type="http://schemas.openxmlformats.org/officeDocument/2006/relationships/hyperlink" Target="mailto:titiksharangari01@gmail.com" TargetMode="External"/><Relationship Id="rId46" Type="http://schemas.openxmlformats.org/officeDocument/2006/relationships/fontTable" Target="fontTable.xml"/><Relationship Id="rId20" Type="http://schemas.openxmlformats.org/officeDocument/2006/relationships/hyperlink" Target="mailto:kathiresanguna3108@gmail.com" TargetMode="External"/><Relationship Id="rId41" Type="http://schemas.openxmlformats.org/officeDocument/2006/relationships/hyperlink" Target="mailto:josereshma02@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30</Pages>
  <Words>8263</Words>
  <Characters>47105</Characters>
  <Application>Microsoft Office Word</Application>
  <DocSecurity>0</DocSecurity>
  <Lines>392</Lines>
  <Paragraphs>110</Paragraphs>
  <ScaleCrop>false</ScaleCrop>
  <Company/>
  <LinksUpToDate>false</LinksUpToDate>
  <CharactersWithSpaces>55258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Disability Futures: Intersections, Precarities, and Possibilities</dc:creator>
  <cp:lastModifiedBy>Chetan Sastry Vijayakumar</cp:lastModifiedBy>
  <cp:revision>17</cp:revision>
  <cp:lastPrinted>2026-05-12T17:58:00Z</cp:lastPrinted>
  <dcterms:created xsi:type="dcterms:W3CDTF">2026-05-12T17:37:00Z</dcterms:created>
  <dcterms:modified xsi:type="dcterms:W3CDTF">2026-05-13T04:05:00Z</dcterms:modified>
</cp:coreProperties>
</file>